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C68C" w14:textId="3D7E3808" w:rsidR="00B72928" w:rsidRPr="00DF16A5" w:rsidRDefault="0017080A" w:rsidP="00B72928">
      <w:pPr>
        <w:spacing w:after="0" w:line="240" w:lineRule="auto"/>
        <w:jc w:val="center"/>
        <w:rPr>
          <w:rFonts w:asciiTheme="majorBidi" w:eastAsia="Times New Roman" w:hAnsiTheme="majorBidi" w:cstheme="majorBidi"/>
          <w:b/>
          <w:bCs/>
          <w:sz w:val="32"/>
          <w:szCs w:val="32"/>
          <w:highlight w:val="yellow"/>
        </w:rPr>
      </w:pPr>
      <w:r w:rsidRPr="0017080A">
        <w:rPr>
          <w:rFonts w:asciiTheme="majorBidi" w:eastAsia="Times New Roman" w:hAnsiTheme="majorBidi" w:cstheme="majorBidi"/>
          <w:b/>
          <w:bCs/>
          <w:sz w:val="32"/>
          <w:szCs w:val="32"/>
        </w:rPr>
        <w:t>Platelet-To-Lymphocyte Ratio in Blood in Early Breast Cancer Patients</w:t>
      </w:r>
    </w:p>
    <w:p w14:paraId="6A0FB1FD" w14:textId="77777777" w:rsidR="00B72928" w:rsidRPr="000E12C8" w:rsidRDefault="00B72928" w:rsidP="00794F50">
      <w:pPr>
        <w:spacing w:before="240" w:line="240" w:lineRule="auto"/>
        <w:rPr>
          <w:rFonts w:asciiTheme="majorBidi" w:hAnsiTheme="majorBidi" w:cstheme="majorBidi"/>
          <w:b/>
          <w:bCs/>
          <w:sz w:val="28"/>
          <w:szCs w:val="28"/>
        </w:rPr>
      </w:pPr>
      <w:r w:rsidRPr="000E12C8">
        <w:rPr>
          <w:rFonts w:asciiTheme="majorBidi" w:hAnsiTheme="majorBidi" w:cstheme="majorBidi"/>
          <w:b/>
          <w:bCs/>
          <w:sz w:val="28"/>
          <w:szCs w:val="28"/>
        </w:rPr>
        <w:t>Abstract</w:t>
      </w:r>
    </w:p>
    <w:p w14:paraId="772C1B89" w14:textId="524B62A8" w:rsidR="00B72928" w:rsidRPr="00310A98" w:rsidRDefault="00B72928" w:rsidP="00310A98">
      <w:pPr>
        <w:jc w:val="both"/>
        <w:rPr>
          <w:sz w:val="24"/>
          <w:szCs w:val="24"/>
          <w:rtl/>
        </w:rPr>
      </w:pPr>
      <w:r w:rsidRPr="00310A98">
        <w:rPr>
          <w:rFonts w:asciiTheme="majorBidi" w:hAnsiTheme="majorBidi" w:cstheme="majorBidi"/>
          <w:b/>
          <w:bCs/>
          <w:sz w:val="24"/>
          <w:szCs w:val="24"/>
        </w:rPr>
        <w:t>Background:</w:t>
      </w:r>
      <w:r w:rsidRPr="00310A98">
        <w:rPr>
          <w:rFonts w:asciiTheme="majorBidi" w:hAnsiTheme="majorBidi" w:cstheme="majorBidi"/>
          <w:sz w:val="24"/>
          <w:szCs w:val="24"/>
        </w:rPr>
        <w:t xml:space="preserve"> </w:t>
      </w:r>
      <w:r w:rsidR="000E12C8" w:rsidRPr="00310A98">
        <w:rPr>
          <w:rFonts w:asciiTheme="majorBidi" w:hAnsiTheme="majorBidi" w:cstheme="majorBidi"/>
          <w:sz w:val="24"/>
          <w:szCs w:val="24"/>
        </w:rPr>
        <w:t>Breast cancer is currently the highest-ranking cancer in the world in terms of morbidity and mortality among women</w:t>
      </w:r>
      <w:r w:rsidR="00AD0469" w:rsidRPr="00310A98">
        <w:rPr>
          <w:rFonts w:asciiTheme="majorBidi" w:hAnsiTheme="majorBidi" w:cstheme="majorBidi"/>
          <w:sz w:val="24"/>
          <w:szCs w:val="24"/>
        </w:rPr>
        <w:t>.</w:t>
      </w:r>
      <w:r w:rsidR="00F8671D" w:rsidRPr="00310A98">
        <w:rPr>
          <w:rFonts w:asciiTheme="majorBidi" w:hAnsiTheme="majorBidi" w:cstheme="majorBidi"/>
          <w:sz w:val="24"/>
          <w:szCs w:val="24"/>
        </w:rPr>
        <w:t xml:space="preserve"> </w:t>
      </w:r>
      <w:r w:rsidRPr="00310A98">
        <w:rPr>
          <w:rFonts w:asciiTheme="majorBidi" w:hAnsiTheme="majorBidi" w:cstheme="majorBidi"/>
          <w:b/>
          <w:bCs/>
          <w:sz w:val="24"/>
          <w:szCs w:val="24"/>
        </w:rPr>
        <w:t xml:space="preserve">This study aimed to </w:t>
      </w:r>
      <w:proofErr w:type="spellStart"/>
      <w:r w:rsidR="000E12C8" w:rsidRPr="00310A98">
        <w:rPr>
          <w:rFonts w:asciiTheme="majorBidi" w:hAnsiTheme="majorBidi" w:cstheme="majorBidi"/>
          <w:sz w:val="24"/>
          <w:szCs w:val="24"/>
        </w:rPr>
        <w:t>to</w:t>
      </w:r>
      <w:proofErr w:type="spellEnd"/>
      <w:r w:rsidR="000E12C8" w:rsidRPr="00310A98">
        <w:rPr>
          <w:rFonts w:asciiTheme="majorBidi" w:hAnsiTheme="majorBidi" w:cstheme="majorBidi"/>
          <w:sz w:val="24"/>
          <w:szCs w:val="24"/>
        </w:rPr>
        <w:t xml:space="preserve"> evaluate Platelet to lymphocyte ratio as a prognostic marker in early breast cancer. Assessing the prognostic and predictive values of this relationship</w:t>
      </w:r>
      <w:r w:rsidR="001A3C75" w:rsidRPr="00310A98">
        <w:rPr>
          <w:rFonts w:asciiTheme="majorBidi" w:hAnsiTheme="majorBidi" w:cstheme="majorBidi"/>
          <w:sz w:val="24"/>
          <w:szCs w:val="24"/>
        </w:rPr>
        <w:t>.</w:t>
      </w:r>
      <w:r w:rsidRPr="00310A98">
        <w:rPr>
          <w:rFonts w:asciiTheme="majorBidi" w:hAnsiTheme="majorBidi" w:cstheme="majorBidi"/>
          <w:sz w:val="24"/>
          <w:szCs w:val="24"/>
        </w:rPr>
        <w:t xml:space="preserve"> </w:t>
      </w:r>
      <w:r w:rsidRPr="00310A98">
        <w:rPr>
          <w:rFonts w:asciiTheme="majorBidi" w:hAnsiTheme="majorBidi" w:cstheme="majorBidi"/>
          <w:b/>
          <w:bCs/>
          <w:sz w:val="24"/>
          <w:szCs w:val="24"/>
        </w:rPr>
        <w:t>Methods:</w:t>
      </w:r>
      <w:r w:rsidRPr="00310A98">
        <w:rPr>
          <w:rFonts w:asciiTheme="majorBidi" w:hAnsiTheme="majorBidi" w:cstheme="majorBidi"/>
          <w:sz w:val="24"/>
          <w:szCs w:val="24"/>
        </w:rPr>
        <w:t xml:space="preserve"> </w:t>
      </w:r>
      <w:r w:rsidR="000E12C8" w:rsidRPr="00310A98">
        <w:rPr>
          <w:rFonts w:asciiTheme="majorBidi" w:hAnsiTheme="majorBidi" w:cstheme="majorBidi"/>
          <w:sz w:val="24"/>
          <w:szCs w:val="24"/>
        </w:rPr>
        <w:t xml:space="preserve">This cross-sectional study included 100 female patients with breast cancer presented to </w:t>
      </w:r>
      <w:proofErr w:type="spellStart"/>
      <w:r w:rsidR="000E12C8" w:rsidRPr="00310A98">
        <w:rPr>
          <w:rFonts w:asciiTheme="majorBidi" w:hAnsiTheme="majorBidi" w:cstheme="majorBidi"/>
          <w:sz w:val="24"/>
          <w:szCs w:val="24"/>
        </w:rPr>
        <w:t>Hemato</w:t>
      </w:r>
      <w:proofErr w:type="spellEnd"/>
      <w:r w:rsidR="000E12C8" w:rsidRPr="00310A98">
        <w:rPr>
          <w:rFonts w:asciiTheme="majorBidi" w:hAnsiTheme="majorBidi" w:cstheme="majorBidi"/>
          <w:sz w:val="24"/>
          <w:szCs w:val="24"/>
        </w:rPr>
        <w:t>-Oncology Unit, Benha University Hospitals</w:t>
      </w:r>
      <w:r w:rsidR="000E12C8" w:rsidRPr="00310A98">
        <w:rPr>
          <w:rFonts w:asciiTheme="majorBidi" w:hAnsiTheme="majorBidi" w:cstheme="majorBidi"/>
          <w:sz w:val="24"/>
          <w:szCs w:val="24"/>
        </w:rPr>
        <w:t>.</w:t>
      </w:r>
      <w:r w:rsidR="00310A98" w:rsidRPr="00310A98">
        <w:t xml:space="preserve"> </w:t>
      </w:r>
      <w:r w:rsidR="00310A98" w:rsidRPr="00310A98">
        <w:rPr>
          <w:rFonts w:asciiTheme="majorBidi" w:hAnsiTheme="majorBidi" w:cstheme="majorBidi"/>
          <w:sz w:val="24"/>
          <w:szCs w:val="24"/>
        </w:rPr>
        <w:t>Patients were divided into equal groups regarding PLR : Group I (n=57): High PLR &gt;150. Group II (n=43): Low PLR &lt;150.</w:t>
      </w:r>
      <w:r w:rsidR="000E12C8" w:rsidRPr="00310A98">
        <w:t xml:space="preserve"> </w:t>
      </w:r>
      <w:r w:rsidR="000E12C8" w:rsidRPr="00310A98">
        <w:rPr>
          <w:rFonts w:asciiTheme="majorBidi" w:hAnsiTheme="majorBidi" w:cstheme="majorBidi"/>
          <w:sz w:val="24"/>
          <w:szCs w:val="24"/>
        </w:rPr>
        <w:t>All patients underwent</w:t>
      </w:r>
      <w:r w:rsidR="000E12C8" w:rsidRPr="00310A98">
        <w:rPr>
          <w:sz w:val="24"/>
          <w:szCs w:val="24"/>
        </w:rPr>
        <w:t xml:space="preserve"> </w:t>
      </w:r>
      <w:r w:rsidR="00310A98" w:rsidRPr="00310A98">
        <w:rPr>
          <w:sz w:val="24"/>
          <w:szCs w:val="24"/>
        </w:rPr>
        <w:t>p</w:t>
      </w:r>
      <w:r w:rsidR="000E12C8" w:rsidRPr="00310A98">
        <w:rPr>
          <w:rFonts w:asciiTheme="majorBidi" w:hAnsiTheme="majorBidi" w:cstheme="majorBidi"/>
          <w:sz w:val="24"/>
          <w:szCs w:val="24"/>
        </w:rPr>
        <w:t>athological assessments</w:t>
      </w:r>
      <w:r w:rsidR="00310A98" w:rsidRPr="00310A98">
        <w:rPr>
          <w:rFonts w:asciiTheme="majorBidi" w:hAnsiTheme="majorBidi" w:cstheme="majorBidi"/>
          <w:sz w:val="24"/>
          <w:szCs w:val="24"/>
        </w:rPr>
        <w:t>, i</w:t>
      </w:r>
      <w:r w:rsidR="000E12C8" w:rsidRPr="00310A98">
        <w:rPr>
          <w:rFonts w:asciiTheme="majorBidi" w:hAnsiTheme="majorBidi" w:cstheme="majorBidi"/>
          <w:sz w:val="24"/>
          <w:szCs w:val="24"/>
        </w:rPr>
        <w:t>mmunohistochemical analysis</w:t>
      </w:r>
      <w:r w:rsidR="00310A98" w:rsidRPr="00310A98">
        <w:rPr>
          <w:rFonts w:asciiTheme="majorBidi" w:hAnsiTheme="majorBidi" w:cstheme="majorBidi"/>
          <w:sz w:val="24"/>
          <w:szCs w:val="24"/>
        </w:rPr>
        <w:t>, m</w:t>
      </w:r>
      <w:r w:rsidR="000E12C8" w:rsidRPr="00310A98">
        <w:rPr>
          <w:rFonts w:asciiTheme="majorBidi" w:hAnsiTheme="majorBidi" w:cstheme="majorBidi"/>
          <w:sz w:val="24"/>
          <w:szCs w:val="24"/>
        </w:rPr>
        <w:t>olecular subtyping</w:t>
      </w:r>
      <w:r w:rsidR="00310A98" w:rsidRPr="00310A98">
        <w:rPr>
          <w:rFonts w:asciiTheme="majorBidi" w:hAnsiTheme="majorBidi" w:cstheme="majorBidi"/>
          <w:sz w:val="24"/>
          <w:szCs w:val="24"/>
        </w:rPr>
        <w:t>, a</w:t>
      </w:r>
      <w:r w:rsidR="000E12C8" w:rsidRPr="00310A98">
        <w:rPr>
          <w:rFonts w:asciiTheme="majorBidi" w:hAnsiTheme="majorBidi" w:cstheme="majorBidi"/>
          <w:sz w:val="24"/>
          <w:szCs w:val="24"/>
        </w:rPr>
        <w:t>ssessment of response to neoadjuvant chemotherapy</w:t>
      </w:r>
      <w:r w:rsidR="00310A98" w:rsidRPr="00310A98">
        <w:rPr>
          <w:rFonts w:asciiTheme="majorBidi" w:hAnsiTheme="majorBidi" w:cstheme="majorBidi"/>
          <w:sz w:val="24"/>
          <w:szCs w:val="24"/>
        </w:rPr>
        <w:t xml:space="preserve"> and </w:t>
      </w:r>
      <w:bookmarkStart w:id="0" w:name="_Hlk199759718"/>
      <w:r w:rsidR="00310A98" w:rsidRPr="00310A98">
        <w:rPr>
          <w:rFonts w:asciiTheme="majorBidi" w:hAnsiTheme="majorBidi" w:cstheme="majorBidi"/>
          <w:sz w:val="24"/>
          <w:szCs w:val="24"/>
        </w:rPr>
        <w:t>p</w:t>
      </w:r>
      <w:r w:rsidR="000E12C8" w:rsidRPr="00310A98">
        <w:rPr>
          <w:rFonts w:asciiTheme="majorBidi" w:hAnsiTheme="majorBidi" w:cstheme="majorBidi"/>
          <w:sz w:val="24"/>
          <w:szCs w:val="24"/>
        </w:rPr>
        <w:t xml:space="preserve">latelet-to-lymphocyte ratio </w:t>
      </w:r>
      <w:bookmarkEnd w:id="0"/>
      <w:r w:rsidR="000E12C8" w:rsidRPr="00310A98">
        <w:rPr>
          <w:rFonts w:asciiTheme="majorBidi" w:hAnsiTheme="majorBidi" w:cstheme="majorBidi"/>
          <w:sz w:val="24"/>
          <w:szCs w:val="24"/>
        </w:rPr>
        <w:t>(PLR) analysis</w:t>
      </w:r>
      <w:r w:rsidR="00310A98" w:rsidRPr="00310A98">
        <w:rPr>
          <w:rFonts w:asciiTheme="majorBidi" w:hAnsiTheme="majorBidi" w:cstheme="majorBidi"/>
          <w:sz w:val="24"/>
          <w:szCs w:val="24"/>
        </w:rPr>
        <w:t>.</w:t>
      </w:r>
      <w:r w:rsidR="00F73676" w:rsidRPr="00310A98">
        <w:rPr>
          <w:rFonts w:asciiTheme="majorBidi" w:hAnsiTheme="majorBidi" w:cstheme="majorBidi"/>
          <w:sz w:val="24"/>
          <w:szCs w:val="24"/>
        </w:rPr>
        <w:t xml:space="preserve"> </w:t>
      </w:r>
      <w:r w:rsidRPr="00310A98">
        <w:rPr>
          <w:rFonts w:asciiTheme="majorBidi" w:hAnsiTheme="majorBidi" w:cstheme="majorBidi"/>
          <w:b/>
          <w:bCs/>
          <w:sz w:val="24"/>
          <w:szCs w:val="24"/>
        </w:rPr>
        <w:t>Results</w:t>
      </w:r>
      <w:r w:rsidRPr="00310A98">
        <w:rPr>
          <w:rFonts w:asciiTheme="majorBidi" w:hAnsiTheme="majorBidi" w:cstheme="majorBidi"/>
          <w:sz w:val="24"/>
          <w:szCs w:val="24"/>
        </w:rPr>
        <w:t xml:space="preserve">: </w:t>
      </w:r>
      <w:r w:rsidR="00310A98" w:rsidRPr="00310A98">
        <w:rPr>
          <w:rFonts w:asciiTheme="majorBidi" w:hAnsiTheme="majorBidi" w:cstheme="majorBidi"/>
          <w:sz w:val="24"/>
          <w:szCs w:val="24"/>
        </w:rPr>
        <w:t xml:space="preserve">The tumor-node-metastasis classification including T, N and M staging were significantly different between both groups (P&lt;0.001, &lt;0.001, &lt;0.001). Before and after treatment, the tumor mass was significantly higher in patients with higher PLR compared to those with low PLR (P=0.002, &lt;0.001). There was a significant difference between both groups regarding the metastasis (P&lt;0.001), as patients with high PLR &gt;150 showed higher </w:t>
      </w:r>
      <w:r w:rsidR="00310A98" w:rsidRPr="00310A98">
        <w:rPr>
          <w:rFonts w:asciiTheme="majorBidi" w:hAnsiTheme="majorBidi" w:cstheme="majorBidi"/>
          <w:sz w:val="24"/>
          <w:szCs w:val="24"/>
        </w:rPr>
        <w:t>metastasis</w:t>
      </w:r>
      <w:r w:rsidR="00310A98" w:rsidRPr="00310A98">
        <w:rPr>
          <w:rFonts w:asciiTheme="majorBidi" w:hAnsiTheme="majorBidi" w:cstheme="majorBidi"/>
          <w:sz w:val="24"/>
          <w:szCs w:val="24"/>
        </w:rPr>
        <w:t xml:space="preserve"> compared to those with low PLR.</w:t>
      </w:r>
      <w:r w:rsidR="00310A98" w:rsidRPr="00310A98">
        <w:rPr>
          <w:rFonts w:asciiTheme="majorBidi" w:hAnsiTheme="majorBidi" w:cstheme="majorBidi"/>
          <w:sz w:val="24"/>
          <w:szCs w:val="24"/>
        </w:rPr>
        <w:t xml:space="preserve"> </w:t>
      </w:r>
      <w:r w:rsidRPr="00310A98">
        <w:rPr>
          <w:rFonts w:asciiTheme="majorBidi" w:hAnsiTheme="majorBidi" w:cstheme="majorBidi"/>
          <w:b/>
          <w:bCs/>
          <w:sz w:val="24"/>
          <w:szCs w:val="24"/>
        </w:rPr>
        <w:t>Conclusion:</w:t>
      </w:r>
      <w:r w:rsidR="009F7C0D" w:rsidRPr="00310A98">
        <w:rPr>
          <w:rFonts w:asciiTheme="majorBidi" w:hAnsiTheme="majorBidi" w:cstheme="majorBidi"/>
          <w:sz w:val="24"/>
          <w:szCs w:val="24"/>
          <w:vertAlign w:val="superscript"/>
        </w:rPr>
        <w:t xml:space="preserve"> </w:t>
      </w:r>
      <w:r w:rsidR="00310A98" w:rsidRPr="00310A98">
        <w:rPr>
          <w:rFonts w:asciiTheme="majorBidi" w:hAnsiTheme="majorBidi" w:cstheme="majorBidi"/>
          <w:sz w:val="24"/>
          <w:szCs w:val="24"/>
        </w:rPr>
        <w:t>PLR is a valuable prognostic and predictive marker in patients with early breast cancer. A high PLR (&gt;150) was significantly associated with more aggressive tumor characteristics, including higher tumor size and stage, increased K</w:t>
      </w:r>
      <w:r w:rsidR="00310A98">
        <w:rPr>
          <w:rFonts w:asciiTheme="majorBidi" w:hAnsiTheme="majorBidi" w:cstheme="majorBidi"/>
          <w:sz w:val="24"/>
          <w:szCs w:val="24"/>
        </w:rPr>
        <w:t>I</w:t>
      </w:r>
      <w:r w:rsidR="00310A98" w:rsidRPr="00310A98">
        <w:rPr>
          <w:rFonts w:asciiTheme="majorBidi" w:hAnsiTheme="majorBidi" w:cstheme="majorBidi"/>
          <w:sz w:val="24"/>
          <w:szCs w:val="24"/>
        </w:rPr>
        <w:t>67 expression, human epidermal growth factor receptor 2 positivity, and a greater incidence of distant metastases</w:t>
      </w:r>
      <w:r w:rsidR="00310A98">
        <w:rPr>
          <w:rFonts w:asciiTheme="majorBidi" w:hAnsiTheme="majorBidi" w:cstheme="majorBidi"/>
          <w:sz w:val="24"/>
          <w:szCs w:val="24"/>
        </w:rPr>
        <w:t xml:space="preserve">. </w:t>
      </w:r>
      <w:r w:rsidR="00310A98" w:rsidRPr="00310A98">
        <w:rPr>
          <w:rFonts w:asciiTheme="majorBidi" w:hAnsiTheme="majorBidi" w:cstheme="majorBidi"/>
          <w:sz w:val="24"/>
          <w:szCs w:val="24"/>
        </w:rPr>
        <w:t xml:space="preserve">These findings suggest that PLR reflects the systemic inflammatory response and may play a role in breast cancer progression. </w:t>
      </w:r>
    </w:p>
    <w:p w14:paraId="0EE60FD2" w14:textId="61C92F37" w:rsidR="0080458C" w:rsidRPr="0017080A" w:rsidRDefault="00B72928" w:rsidP="00B72928">
      <w:pPr>
        <w:spacing w:before="240" w:after="0" w:line="240" w:lineRule="auto"/>
        <w:jc w:val="lowKashida"/>
        <w:rPr>
          <w:rFonts w:asciiTheme="majorBidi" w:hAnsiTheme="majorBidi" w:cstheme="majorBidi"/>
          <w:sz w:val="24"/>
          <w:szCs w:val="24"/>
        </w:rPr>
      </w:pPr>
      <w:r w:rsidRPr="0017080A">
        <w:rPr>
          <w:rFonts w:asciiTheme="majorBidi" w:hAnsiTheme="majorBidi" w:cstheme="majorBidi"/>
          <w:b/>
          <w:bCs/>
          <w:sz w:val="24"/>
          <w:szCs w:val="24"/>
        </w:rPr>
        <w:t>Keywords:</w:t>
      </w:r>
      <w:r w:rsidRPr="0017080A">
        <w:t xml:space="preserve"> </w:t>
      </w:r>
      <w:r w:rsidR="0017080A" w:rsidRPr="0017080A">
        <w:rPr>
          <w:rFonts w:asciiTheme="majorBidi" w:hAnsiTheme="majorBidi" w:cstheme="majorBidi"/>
          <w:sz w:val="24"/>
          <w:szCs w:val="24"/>
        </w:rPr>
        <w:t>Platelet-To-Lymphocyte Ratio; Blood; Early Breast Cancer.</w:t>
      </w:r>
    </w:p>
    <w:p w14:paraId="2AF99A58" w14:textId="77777777" w:rsidR="0080458C" w:rsidRPr="0017080A" w:rsidRDefault="0080458C" w:rsidP="00ED1E3C">
      <w:pPr>
        <w:spacing w:before="240" w:after="0" w:line="240" w:lineRule="auto"/>
        <w:jc w:val="lowKashida"/>
        <w:rPr>
          <w:rFonts w:asciiTheme="majorBidi" w:hAnsiTheme="majorBidi" w:cstheme="majorBidi"/>
          <w:b/>
          <w:bCs/>
          <w:sz w:val="24"/>
          <w:szCs w:val="24"/>
          <w:u w:val="single"/>
        </w:rPr>
      </w:pPr>
      <w:r w:rsidRPr="0017080A">
        <w:rPr>
          <w:rFonts w:asciiTheme="majorBidi" w:hAnsiTheme="majorBidi" w:cstheme="majorBidi"/>
          <w:b/>
          <w:bCs/>
          <w:sz w:val="24"/>
          <w:szCs w:val="24"/>
          <w:u w:val="single"/>
        </w:rPr>
        <w:t>Introduction</w:t>
      </w:r>
    </w:p>
    <w:p w14:paraId="0ECCFB80" w14:textId="363A205C" w:rsidR="0017080A" w:rsidRPr="00394484" w:rsidRDefault="0017080A" w:rsidP="0017080A">
      <w:pPr>
        <w:pStyle w:val="P"/>
      </w:pPr>
      <w:r w:rsidRPr="00394484">
        <w:t xml:space="preserve">Breast cancer is currently the highest-ranking cancer in the world in terms of morbidity and mortality among women. In 2020, breast cancer was the most common cancer and the leading cause of cancer death in women globally, with 2.3 million incident cases and 0.7 million deaths estimated. As of the end of 2020, there were 7.8 million women worldwide who had survived at least 5-years after a breast cancer diagnosis </w:t>
      </w:r>
      <w:r>
        <w:fldChar w:fldCharType="begin">
          <w:fldData xml:space="preserve">PEVuZE5vdGU+PENpdGU+PEF1dGhvcj5TdW5nPC9BdXRob3I+PFllYXI+MjAyMTwvWWVhcj48UmVj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=
</w:fldData>
        </w:fldChar>
      </w:r>
      <w:r w:rsidR="008F3B3E">
        <w:instrText xml:space="preserve"> ADDIN EN.CITE </w:instrText>
      </w:r>
      <w:r w:rsidR="008F3B3E">
        <w:fldChar w:fldCharType="begin">
          <w:fldData xml:space="preserve">PEVuZE5vdGU+PENpdGU+PEF1dGhvcj5TdW5nPC9BdXRob3I+PFllYXI+MjAyMTwvWWVhcj48UmVj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=
</w:fldData>
        </w:fldChar>
      </w:r>
      <w:r w:rsidR="008F3B3E">
        <w:instrText xml:space="preserve"> ADDIN EN.CITE.DATA </w:instrText>
      </w:r>
      <w:r w:rsidR="008F3B3E">
        <w:fldChar w:fldCharType="end"/>
      </w:r>
      <w:r>
        <w:fldChar w:fldCharType="separate"/>
      </w:r>
      <w:r w:rsidR="000E12C8">
        <w:rPr>
          <w:noProof/>
        </w:rPr>
        <w:t>(1)</w:t>
      </w:r>
      <w:r>
        <w:fldChar w:fldCharType="end"/>
      </w:r>
      <w:r>
        <w:t>.</w:t>
      </w:r>
    </w:p>
    <w:p w14:paraId="68D91073" w14:textId="21965F6A" w:rsidR="0017080A" w:rsidRPr="00394484" w:rsidRDefault="0017080A" w:rsidP="0017080A">
      <w:pPr>
        <w:pStyle w:val="P"/>
      </w:pPr>
      <w:r w:rsidRPr="00394484">
        <w:t xml:space="preserve">In Egypt, breast cancer is the most common malignancy in women, accounting for 38.8% of cancer in this population, with the estimated number of cancer cases nearly 22,700 in 2020 and forecasted to be approximately 46,000 in 2050. It is estimated that the breast cancer mortality rate is around 11%, being the second cause of cancer-related mortality after liver cancer </w:t>
      </w:r>
      <w:r>
        <w:fldChar w:fldCharType="begin"/>
      </w:r>
      <w:r w:rsidR="008F3B3E">
        <w:instrText xml:space="preserve"> ADDIN EN.CITE &lt;EndNote&gt;&lt;Cite&gt;&lt;Author&gt;Piñeros&lt;/Author&gt;&lt;Year&gt;2021&lt;/Year&gt;&lt;RecNum&gt;2&lt;/RecNum&gt;&lt;DisplayText&gt;(2)&lt;/DisplayText&gt;&lt;record&gt;&lt;rec-number&gt;2&lt;/rec-number&gt;&lt;foreign-keys&gt;&lt;key app="EN" db-id="detrs55a600rv1effwovspsb0e0erzz992ta" timestamp="1748857286"&gt;2&lt;/key&gt;&lt;/foreign-keys&gt;&lt;ref-type name="Journal Article"&gt;17&lt;/ref-type&gt;&lt;contributors&gt;&lt;authors&gt;&lt;author&gt;Piñeros, Marion&lt;/author&gt;&lt;author&gt;Mery, Les&lt;/author&gt;&lt;author&gt;Soerjomataram, Isabelle&lt;/author&gt;&lt;author&gt;Bray, Freddie&lt;/author&gt;&lt;author&gt;Steliarova-Foucher, Eva&lt;/author&gt;&lt;/authors&gt;&lt;/contributors&gt;&lt;titles&gt;&lt;title&gt;Scaling up the surveillance of childhood cancer: a global roadmap&lt;/title&gt;&lt;secondary-title&gt;Jof the National Cancer Institute&lt;/secondary-title&gt;&lt;/titles&gt;&lt;periodical&gt;&lt;full-title&gt;Jof the National Cancer Institute&lt;/full-title&gt;&lt;/periodical&gt;&lt;pages&gt;9-15&lt;/pages&gt;&lt;volume&gt;113&lt;/volume&gt;&lt;number&gt;1&lt;/number&gt;&lt;dates&gt;&lt;year&gt;2021&lt;/year&gt;&lt;/dates&gt;&lt;isbn&gt;0027-8874&lt;/isbn&gt;&lt;urls&gt;&lt;/urls&gt;&lt;/record&gt;&lt;/Cite&gt;&lt;/EndNote&gt;</w:instrText>
      </w:r>
      <w:r>
        <w:fldChar w:fldCharType="separate"/>
      </w:r>
      <w:r w:rsidR="000E12C8">
        <w:rPr>
          <w:noProof/>
        </w:rPr>
        <w:t>(2)</w:t>
      </w:r>
      <w:r>
        <w:fldChar w:fldCharType="end"/>
      </w:r>
      <w:r>
        <w:t>.</w:t>
      </w:r>
    </w:p>
    <w:p w14:paraId="6A58F965" w14:textId="3585312A" w:rsidR="0017080A" w:rsidRPr="00394484" w:rsidRDefault="0017080A" w:rsidP="0017080A">
      <w:pPr>
        <w:pStyle w:val="P"/>
      </w:pPr>
      <w:r w:rsidRPr="00394484">
        <w:lastRenderedPageBreak/>
        <w:t xml:space="preserve">Inflammation plays a vital role in the occurrence and development of breast cancer. Neutrophils, monocytes, platelets, and lymphocytes in peripheral blood are closely related to tumor cell invasion, metastasis, and angiogenesis </w:t>
      </w:r>
      <w:r>
        <w:fldChar w:fldCharType="begin"/>
      </w:r>
      <w:r w:rsidR="008F3B3E">
        <w:instrText xml:space="preserve"> ADDIN EN.CITE &lt;EndNote&gt;&lt;Cite&gt;&lt;Author&gt;Wellenstein&lt;/Author&gt;&lt;Year&gt;2019&lt;/Year&gt;&lt;RecNum&gt;3&lt;/RecNum&gt;&lt;DisplayText&gt;(3)&lt;/DisplayText&gt;&lt;record&gt;&lt;rec-number&gt;3&lt;/rec-number&gt;&lt;foreign-keys&gt;&lt;key app="EN" db-id="detrs55a600rv1effwovspsb0e0erzz992ta" timestamp="1748857286"&gt;3&lt;/key&gt;&lt;/foreign-keys&gt;&lt;ref-type name="Journal Article"&gt;17&lt;/ref-type&gt;&lt;contributors&gt;&lt;authors&gt;&lt;author&gt;Wellenstein, Max D.&lt;/author&gt;&lt;author&gt;Coffelt, Seth B.&lt;/author&gt;&lt;author&gt;Duits, Danique E. M.&lt;/author&gt;&lt;author&gt;van Miltenburg, Martine H.&lt;/author&gt;&lt;author&gt;Slagter, Maarten&lt;/author&gt;&lt;author&gt;de Rink, Iris&lt;/author&gt;&lt;author&gt;Henneman, Linda&lt;/author&gt;&lt;author&gt;Kas, Sjors M.&lt;/author&gt;&lt;author&gt;Prekovic, Stefan&lt;/author&gt;&lt;author&gt;Hau, Cheei-Sing&lt;/author&gt;&lt;author&gt;Vrijland, Kim&lt;/author&gt;&lt;author&gt;Drenth, Anne Paulien&lt;/author&gt;&lt;author&gt;de Korte-Grimmerink, Renske&lt;/author&gt;&lt;author&gt;Schut, Eva&lt;/author&gt;&lt;author&gt;van der Heijden, Ingrid&lt;/author&gt;&lt;author&gt;Zwart, Wilbert&lt;/author&gt;&lt;author&gt;Wessels, Lodewyk F. A.&lt;/author&gt;&lt;author&gt;Schumacher, Ton N.&lt;/author&gt;&lt;author&gt;Jonkers, Jos&lt;/author&gt;&lt;author&gt;de Visser, Karin E.&lt;/author&gt;&lt;/authors&gt;&lt;/contributors&gt;&lt;titles&gt;&lt;title&gt;Loss of p53 triggers WNT-dependent systemic inflammation to drive breast cancer metastasis&lt;/title&gt;&lt;secondary-title&gt;Nature&lt;/secondary-title&gt;&lt;/titles&gt;&lt;periodical&gt;&lt;full-title&gt;Nature&lt;/full-title&gt;&lt;/periodical&gt;&lt;pages&gt;538-542&lt;/pages&gt;&lt;volume&gt;572&lt;/volume&gt;&lt;number&gt;7770&lt;/number&gt;&lt;dates&gt;&lt;year&gt;2019&lt;/year&gt;&lt;pub-dates&gt;&lt;date&gt;2019/08/01&lt;/date&gt;&lt;/pub-dates&gt;&lt;/dates&gt;&lt;isbn&gt;1476-4687&lt;/isbn&gt;&lt;urls&gt;&lt;related-urls&gt;&lt;url&gt;https://doi.org/10.1038/s41586-019-1450-6&lt;/url&gt;&lt;/related-urls&gt;&lt;/urls&gt;&lt;electronic-resource-num&gt;10.1038/s41586-019-1450-6&lt;/electronic-resource-num&gt;&lt;/record&gt;&lt;/Cite&gt;&lt;/EndNote&gt;</w:instrText>
      </w:r>
      <w:r>
        <w:fldChar w:fldCharType="separate"/>
      </w:r>
      <w:r w:rsidR="000E12C8">
        <w:rPr>
          <w:noProof/>
        </w:rPr>
        <w:t>(3)</w:t>
      </w:r>
      <w:r>
        <w:fldChar w:fldCharType="end"/>
      </w:r>
      <w:r>
        <w:t>.</w:t>
      </w:r>
    </w:p>
    <w:p w14:paraId="72648DED" w14:textId="0276121C" w:rsidR="0017080A" w:rsidRPr="00394484" w:rsidRDefault="0017080A" w:rsidP="0017080A">
      <w:pPr>
        <w:pStyle w:val="P"/>
      </w:pPr>
      <w:r w:rsidRPr="00394484">
        <w:t xml:space="preserve">Platelets play a fundamental role in cancer progression, as suggested by experimental and epidemiological studies in human cancers including </w:t>
      </w:r>
      <w:r w:rsidR="008F3B3E" w:rsidRPr="008F3B3E">
        <w:t>breast cancer (BC)</w:t>
      </w:r>
      <w:r w:rsidRPr="00394484">
        <w:t xml:space="preserve">. Platelet activation is essential for the progressing tumor to promote angiogenesis, extracellular matrix degradation, and the release of adhesion molecules and growth factors. Platelets protect tumor cells from being attacked by the immune system, improving motility and tumor growth </w:t>
      </w:r>
      <w:r>
        <w:fldChar w:fldCharType="begin"/>
      </w:r>
      <w:r w:rsidR="008F3B3E">
        <w:instrText xml:space="preserve"> ADDIN EN.CITE &lt;EndNote&gt;&lt;Cite&gt;&lt;Author&gt;Wang&lt;/Author&gt;&lt;Year&gt;2019&lt;/Year&gt;&lt;RecNum&gt;4&lt;/RecNum&gt;&lt;DisplayText&gt;(4)&lt;/DisplayText&gt;&lt;record&gt;&lt;rec-number&gt;4&lt;/rec-number&gt;&lt;foreign-keys&gt;&lt;key app="EN" db-id="detrs55a600rv1effwovspsb0e0erzz992ta" timestamp="1748857286"&gt;4&lt;/key&gt;&lt;/foreign-keys&gt;&lt;ref-type name="Journal Article"&gt;17&lt;/ref-type&gt;&lt;contributors&gt;&lt;authors&gt;&lt;author&gt;Wang, X.&lt;/author&gt;&lt;author&gt;Hui, T. L.&lt;/author&gt;&lt;author&gt;Wang, M. Q.&lt;/author&gt;&lt;author&gt;Liu, H.&lt;/author&gt;&lt;author&gt;Li, R. Y.&lt;/author&gt;&lt;author&gt;Song, Z. C.&lt;/author&gt;&lt;/authors&gt;&lt;/contributors&gt;&lt;auth-address&gt;Breast Center, Fourth Hospital of Hebei Medical University, Shijiazhuang, China.&amp;#xD;Breast Center, Fourth Hospital of Hebei Medical University, Shijiazhuang, China, songzhch@hotmail.com.&lt;/auth-address&gt;&lt;titles&gt;&lt;title&gt;Body Mass Index at Diagnosis as a Prognostic Factor for Early-Stage Invasive Breast Cancer after Surgical Resection&lt;/title&gt;&lt;secondary-title&gt;Oncol Res Treat&lt;/secondary-title&gt;&lt;/titles&gt;&lt;periodical&gt;&lt;full-title&gt;Oncol Res Treat&lt;/full-title&gt;&lt;/periodical&gt;&lt;pages&gt;195-199&lt;/pages&gt;&lt;volume&gt;42&lt;/volume&gt;&lt;number&gt;4&lt;/number&gt;&lt;edition&gt;20190308&lt;/edition&gt;&lt;keywords&gt;&lt;keyword&gt;Adult&lt;/keyword&gt;&lt;keyword&gt;Age Factors&lt;/keyword&gt;&lt;keyword&gt;*Asian People&lt;/keyword&gt;&lt;keyword&gt;*Body Mass Index&lt;/keyword&gt;&lt;keyword&gt;Breast Neoplasms/*mortality/surgery&lt;/keyword&gt;&lt;keyword&gt;China&lt;/keyword&gt;&lt;keyword&gt;Disease-Free Survival&lt;/keyword&gt;&lt;keyword&gt;Female&lt;/keyword&gt;&lt;keyword&gt;Humans&lt;/keyword&gt;&lt;keyword&gt;Middle Aged&lt;/keyword&gt;&lt;keyword&gt;Obesity/*complications&lt;/keyword&gt;&lt;keyword&gt;Prognosis&lt;/keyword&gt;&lt;keyword&gt;Risk Factors&lt;/keyword&gt;&lt;keyword&gt;Body mass index&lt;/keyword&gt;&lt;keyword&gt;Breast cancer&lt;/keyword&gt;&lt;keyword&gt;Overweight&lt;/keyword&gt;&lt;/keywords&gt;&lt;dates&gt;&lt;year&gt;2019&lt;/year&gt;&lt;/dates&gt;&lt;isbn&gt;2296-5270&lt;/isbn&gt;&lt;accession-num&gt;30852575&lt;/accession-num&gt;&lt;urls&gt;&lt;/urls&gt;&lt;electronic-resource-num&gt;10.1159/000496548&lt;/electronic-resource-num&gt;&lt;remote-database-provider&gt;NLM&lt;/remote-database-provider&gt;&lt;language&gt;eng&lt;/language&gt;&lt;/record&gt;&lt;/Cite&gt;&lt;/EndNote&gt;</w:instrText>
      </w:r>
      <w:r>
        <w:fldChar w:fldCharType="separate"/>
      </w:r>
      <w:r w:rsidR="000E12C8">
        <w:rPr>
          <w:noProof/>
        </w:rPr>
        <w:t>(4)</w:t>
      </w:r>
      <w:r>
        <w:fldChar w:fldCharType="end"/>
      </w:r>
      <w:r>
        <w:t>.</w:t>
      </w:r>
    </w:p>
    <w:p w14:paraId="6D39DD4A" w14:textId="42E453F6" w:rsidR="0017080A" w:rsidRPr="00394484" w:rsidRDefault="0017080A" w:rsidP="00310A98">
      <w:pPr>
        <w:pStyle w:val="P"/>
      </w:pPr>
      <w:r w:rsidRPr="00394484">
        <w:t xml:space="preserve">The increase in platelets circulating in the results of the high </w:t>
      </w:r>
      <w:r w:rsidR="00310A98" w:rsidRPr="00310A98">
        <w:t xml:space="preserve">platelet-to-lymphocyte ratio </w:t>
      </w:r>
      <w:r w:rsidRPr="00394484">
        <w:t xml:space="preserve">PLR can be explained by inflammatory cytokines such </w:t>
      </w:r>
      <w:r w:rsidR="00310A98" w:rsidRPr="00394484">
        <w:t>as</w:t>
      </w:r>
      <w:r w:rsidR="00310A98">
        <w:t xml:space="preserve"> interleukin </w:t>
      </w:r>
      <w:r w:rsidRPr="00394484">
        <w:t xml:space="preserve"> </w:t>
      </w:r>
      <w:r w:rsidR="00310A98">
        <w:t>(</w:t>
      </w:r>
      <w:r w:rsidRPr="00394484">
        <w:t>IL</w:t>
      </w:r>
      <w:r w:rsidR="00310A98">
        <w:t>)</w:t>
      </w:r>
      <w:r w:rsidRPr="00394484">
        <w:t>-3, IL-6, and IL-10 that are released by cancer cells and capable of stimulating the proliferation of megakaryocytes. So, an increase in platelet counts reflects an index of tumor-induced inflammation</w:t>
      </w:r>
      <w:r w:rsidR="00310A98">
        <w:t xml:space="preserve">. </w:t>
      </w:r>
      <w:r w:rsidRPr="00394484">
        <w:t xml:space="preserve">Lymphocytes are known to be responsible for the immune response against tumors, suggesting that PLR may be related to prognosis and chemotherapy sensitivity </w:t>
      </w:r>
      <w:r>
        <w:fldChar w:fldCharType="begin">
          <w:fldData xml:space="preserve">PEVuZE5vdGU+PENpdGU+PEF1dGhvcj5Sb21lcm8tQ29yZG9iYTwvQXV0aG9yPjxZZWFyPjIwMTk8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</w:fldData>
        </w:fldChar>
      </w:r>
      <w:r w:rsidR="008F3B3E">
        <w:instrText xml:space="preserve"> ADDIN EN.CITE </w:instrText>
      </w:r>
      <w:r w:rsidR="008F3B3E">
        <w:fldChar w:fldCharType="begin">
          <w:fldData xml:space="preserve">PEVuZE5vdGU+PENpdGU+PEF1dGhvcj5Sb21lcm8tQ29yZG9iYTwvQXV0aG9yPjxZZWFyPjIwMTk8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</w:fldData>
        </w:fldChar>
      </w:r>
      <w:r w:rsidR="008F3B3E">
        <w:instrText xml:space="preserve"> ADDIN EN.CITE.DATA </w:instrText>
      </w:r>
      <w:r w:rsidR="008F3B3E">
        <w:fldChar w:fldCharType="end"/>
      </w:r>
      <w:r>
        <w:fldChar w:fldCharType="separate"/>
      </w:r>
      <w:r w:rsidR="000E12C8">
        <w:rPr>
          <w:noProof/>
        </w:rPr>
        <w:t>(5)</w:t>
      </w:r>
      <w:r>
        <w:fldChar w:fldCharType="end"/>
      </w:r>
      <w:r>
        <w:t>.</w:t>
      </w:r>
      <w:r w:rsidRPr="00394484">
        <w:t xml:space="preserve"> </w:t>
      </w:r>
    </w:p>
    <w:p w14:paraId="5FEB4FF9" w14:textId="1ECB77FA" w:rsidR="0017080A" w:rsidRPr="00394484" w:rsidRDefault="0017080A" w:rsidP="0017080A">
      <w:pPr>
        <w:pStyle w:val="P"/>
      </w:pPr>
      <w:r w:rsidRPr="00394484">
        <w:t xml:space="preserve">So PLR in peripheral blood considered as </w:t>
      </w:r>
      <w:r w:rsidR="00310A98" w:rsidRPr="00394484">
        <w:t>a marker</w:t>
      </w:r>
      <w:r w:rsidRPr="00394484">
        <w:t xml:space="preserve"> of systemic inflammatory response and identified as prognostic parameters in several cancers including breast cancer </w:t>
      </w:r>
      <w:r>
        <w:fldChar w:fldCharType="begin"/>
      </w:r>
      <w:r w:rsidR="008F3B3E">
        <w:instrText xml:space="preserve"> ADDIN EN.CITE &lt;EndNote&gt;&lt;Cite&gt;&lt;Author&gt;Cho&lt;/Author&gt;&lt;Year&gt;2018&lt;/Year&gt;&lt;RecNum&gt;6&lt;/RecNum&gt;&lt;DisplayText&gt;(6)&lt;/DisplayText&gt;&lt;record&gt;&lt;rec-number&gt;6&lt;/rec-number&gt;&lt;foreign-keys&gt;&lt;key app="EN" db-id="detrs55a600rv1effwovspsb0e0erzz992ta" timestamp="1748857286"&gt;6&lt;/key&gt;&lt;/foreign-keys&gt;&lt;ref-type name="Journal Article"&gt;17&lt;/ref-type&gt;&lt;contributors&gt;&lt;authors&gt;&lt;author&gt;Cho, U.&lt;/author&gt;&lt;author&gt;Park, H. S.&lt;/author&gt;&lt;author&gt;Im, S. Y.&lt;/author&gt;&lt;author&gt;Yoo, C. Y.&lt;/author&gt;&lt;author&gt;Jung, J. H.&lt;/author&gt;&lt;author&gt;Suh, Y. J.&lt;/author&gt;&lt;author&gt;Choi, H. J.&lt;/author&gt;&lt;/authors&gt;&lt;/contributors&gt;&lt;auth-address&gt;Department of Hospital Pathology, St. Vincent&amp;apos;s Hospital, College of Medicine, The Catholic University of Korea, Seoul, Republic of Korea.&amp;#xD;Department of Surgery, St. Vincent&amp;apos;s Hospital, College of Medicine, The Catholic University of Korea, Seoul, Republic of Korea.&lt;/auth-address&gt;&lt;titles&gt;&lt;title&gt;Prognostic value of systemic inflammatory markers and development of a nomogram in breast cancer&lt;/title&gt;&lt;secondary-title&gt;PLoS One&lt;/secondary-title&gt;&lt;/titles&gt;&lt;periodical&gt;&lt;full-title&gt;PLoS One&lt;/full-title&gt;&lt;/periodical&gt;&lt;pages&gt;22-44&lt;/pages&gt;&lt;volume&gt;13&lt;/volume&gt;&lt;number&gt;7&lt;/number&gt;&lt;edition&gt;20180726&lt;/edition&gt;&lt;keywords&gt;&lt;keyword&gt;Biomarkers, Tumor/*metabolism&lt;/keyword&gt;&lt;keyword&gt;Breast Neoplasms/*diagnosis/*metabolism&lt;/keyword&gt;&lt;keyword&gt;Disease-Free Survival&lt;/keyword&gt;&lt;keyword&gt;Female&lt;/keyword&gt;&lt;keyword&gt;Humans&lt;/keyword&gt;&lt;keyword&gt;Inflammation/metabolism&lt;/keyword&gt;&lt;keyword&gt;Middle Aged&lt;/keyword&gt;&lt;keyword&gt;*Nomograms&lt;/keyword&gt;&lt;/keywords&gt;&lt;dates&gt;&lt;year&gt;2018&lt;/year&gt;&lt;/dates&gt;&lt;isbn&gt;1932-6203&lt;/isbn&gt;&lt;accession-num&gt;30048474&lt;/accession-num&gt;&lt;urls&gt;&lt;/urls&gt;&lt;custom1&gt;The authors have declared that no competing interests exist.&lt;/custom1&gt;&lt;custom2&gt;PMC6062056&lt;/custom2&gt;&lt;electronic-resource-num&gt;10.1371/journal.pone.0200936&lt;/electronic-resource-num&gt;&lt;remote-database-provider&gt;NLM&lt;/remote-database-provider&gt;&lt;language&gt;eng&lt;/language&gt;&lt;/record&gt;&lt;/Cite&gt;&lt;/EndNote&gt;</w:instrText>
      </w:r>
      <w:r>
        <w:fldChar w:fldCharType="separate"/>
      </w:r>
      <w:r w:rsidR="000E12C8">
        <w:rPr>
          <w:noProof/>
        </w:rPr>
        <w:t>(6)</w:t>
      </w:r>
      <w:r>
        <w:fldChar w:fldCharType="end"/>
      </w:r>
      <w:r>
        <w:t>.</w:t>
      </w:r>
      <w:r w:rsidRPr="00394484">
        <w:t xml:space="preserve"> </w:t>
      </w:r>
    </w:p>
    <w:p w14:paraId="3EF438EF" w14:textId="4B285313" w:rsidR="004E1DDE" w:rsidRPr="0017080A" w:rsidRDefault="0017080A" w:rsidP="0017080A">
      <w:pPr>
        <w:pStyle w:val="P"/>
        <w:rPr>
          <w:highlight w:val="yellow"/>
        </w:rPr>
      </w:pPr>
      <w:r w:rsidRPr="00394484">
        <w:t>Therefore, investigating peripheral blood marker PLR in patients with breast cancer appears to be beneficial</w:t>
      </w:r>
    </w:p>
    <w:p w14:paraId="0DB657F8" w14:textId="7F4217E3" w:rsidR="00A11610" w:rsidRPr="0017080A" w:rsidRDefault="00A84EFC" w:rsidP="004E1DDE">
      <w:pPr>
        <w:pStyle w:val="P"/>
      </w:pPr>
      <w:r w:rsidRPr="0017080A">
        <w:t xml:space="preserve">The purpose of this study was to </w:t>
      </w:r>
      <w:r w:rsidR="0017080A" w:rsidRPr="0017080A">
        <w:t>e</w:t>
      </w:r>
      <w:r w:rsidR="0017080A" w:rsidRPr="0017080A">
        <w:t>valuat</w:t>
      </w:r>
      <w:r w:rsidR="0017080A" w:rsidRPr="0017080A">
        <w:t>e</w:t>
      </w:r>
      <w:r w:rsidR="0017080A" w:rsidRPr="0017080A">
        <w:t xml:space="preserve"> Platelet to lymphocyte ratio as a prognostic marker in early breast cancer. Assessing the prognostic and predictive values of this relationship</w:t>
      </w:r>
      <w:r w:rsidR="001A3C75" w:rsidRPr="0017080A">
        <w:t>.</w:t>
      </w:r>
    </w:p>
    <w:p w14:paraId="63BDC76F" w14:textId="77777777" w:rsidR="007C4AF4" w:rsidRPr="0017080A" w:rsidRDefault="007C4AF4" w:rsidP="00ED1E3C">
      <w:pPr>
        <w:spacing w:before="240" w:after="0" w:line="240" w:lineRule="auto"/>
        <w:jc w:val="lowKashida"/>
        <w:rPr>
          <w:rFonts w:asciiTheme="majorBidi" w:hAnsiTheme="majorBidi" w:cstheme="majorBidi"/>
          <w:b/>
          <w:bCs/>
          <w:sz w:val="24"/>
          <w:szCs w:val="24"/>
          <w:u w:val="single"/>
        </w:rPr>
      </w:pPr>
      <w:r w:rsidRPr="0017080A">
        <w:rPr>
          <w:rFonts w:asciiTheme="majorBidi" w:hAnsiTheme="majorBidi" w:cstheme="majorBidi"/>
          <w:b/>
          <w:bCs/>
          <w:sz w:val="24"/>
          <w:szCs w:val="24"/>
          <w:u w:val="single"/>
        </w:rPr>
        <w:t>Patients and methods</w:t>
      </w:r>
    </w:p>
    <w:p w14:paraId="03F18F51" w14:textId="61FA093E" w:rsidR="000C5FCB" w:rsidRPr="0017080A" w:rsidRDefault="000C5FCB" w:rsidP="000E12C8">
      <w:pPr>
        <w:pStyle w:val="P"/>
      </w:pPr>
      <w:r w:rsidRPr="0017080A">
        <w:t xml:space="preserve">This </w:t>
      </w:r>
      <w:r w:rsidR="008D0D08" w:rsidRPr="0017080A">
        <w:t>c</w:t>
      </w:r>
      <w:r w:rsidRPr="0017080A">
        <w:t xml:space="preserve">ross-sectional study included </w:t>
      </w:r>
      <w:r w:rsidR="000E12C8">
        <w:t>100</w:t>
      </w:r>
      <w:r w:rsidR="0017080A" w:rsidRPr="0017080A">
        <w:t xml:space="preserve"> female patients with breast cancer presented to </w:t>
      </w:r>
      <w:proofErr w:type="spellStart"/>
      <w:r w:rsidR="0017080A" w:rsidRPr="0017080A">
        <w:t>Hemato</w:t>
      </w:r>
      <w:proofErr w:type="spellEnd"/>
      <w:r w:rsidR="0017080A" w:rsidRPr="0017080A">
        <w:t xml:space="preserve">-Oncology Unit, </w:t>
      </w:r>
      <w:r w:rsidR="0017080A" w:rsidRPr="0017080A">
        <w:t xml:space="preserve">Benha </w:t>
      </w:r>
      <w:r w:rsidR="0017080A" w:rsidRPr="0017080A">
        <w:t xml:space="preserve">University Hospitals from </w:t>
      </w:r>
      <w:r w:rsidR="0017080A" w:rsidRPr="0017080A">
        <w:t>March 2023 to March 2024 (one year)</w:t>
      </w:r>
      <w:r w:rsidRPr="0017080A">
        <w:t>.</w:t>
      </w:r>
      <w:r w:rsidR="000E12C8">
        <w:t xml:space="preserve"> </w:t>
      </w:r>
      <w:r w:rsidRPr="0017080A">
        <w:t>An informed written consent was obtained from the patients. Every patient received an explanation of the purpose of the study and had a secret code number. The study was done after being approved by the Research Ethics Committee, Faculty of Medicine, Benha University.</w:t>
      </w:r>
    </w:p>
    <w:p w14:paraId="6513D883" w14:textId="69CA7595" w:rsidR="000C5FCB" w:rsidRPr="0017080A" w:rsidRDefault="000C5FCB" w:rsidP="0017080A">
      <w:pPr>
        <w:pStyle w:val="P"/>
        <w:rPr>
          <w:rFonts w:ascii="Times New Roman" w:eastAsia="Times New Roman" w:hAnsi="Times New Roman" w:cs="Times New Roman"/>
        </w:rPr>
      </w:pPr>
      <w:r w:rsidRPr="0017080A">
        <w:rPr>
          <w:b/>
          <w:bCs/>
        </w:rPr>
        <w:t xml:space="preserve">Inclusion criteria were </w:t>
      </w:r>
      <w:r w:rsidR="0017080A" w:rsidRPr="0017080A">
        <w:t>f</w:t>
      </w:r>
      <w:r w:rsidR="0017080A" w:rsidRPr="0017080A">
        <w:t>emale patients with early primary breast cancer</w:t>
      </w:r>
      <w:r w:rsidR="0017080A" w:rsidRPr="0017080A">
        <w:t xml:space="preserve"> and h</w:t>
      </w:r>
      <w:r w:rsidR="0017080A" w:rsidRPr="0017080A">
        <w:t>istopathological confirmation of invasive breast cancer</w:t>
      </w:r>
      <w:r w:rsidRPr="0017080A">
        <w:rPr>
          <w:rFonts w:ascii="Times New Roman" w:eastAsia="Times New Roman" w:hAnsi="Times New Roman" w:cs="Times New Roman"/>
        </w:rPr>
        <w:t>.</w:t>
      </w:r>
    </w:p>
    <w:p w14:paraId="4565FB5F" w14:textId="250CA14D" w:rsidR="000C5FCB" w:rsidRPr="000E12C8" w:rsidRDefault="000C5FCB" w:rsidP="0017080A">
      <w:pPr>
        <w:pStyle w:val="P"/>
      </w:pPr>
      <w:r w:rsidRPr="0017080A">
        <w:rPr>
          <w:b/>
          <w:bCs/>
          <w:color w:val="000000"/>
        </w:rPr>
        <w:t xml:space="preserve">Exclusion criteria were </w:t>
      </w:r>
      <w:r w:rsidR="0017080A" w:rsidRPr="0017080A">
        <w:rPr>
          <w:color w:val="000000"/>
        </w:rPr>
        <w:t>m</w:t>
      </w:r>
      <w:r w:rsidR="0017080A" w:rsidRPr="0017080A">
        <w:rPr>
          <w:color w:val="000000"/>
        </w:rPr>
        <w:t>ale patients with breast cancer</w:t>
      </w:r>
      <w:r w:rsidR="0017080A" w:rsidRPr="0017080A">
        <w:rPr>
          <w:color w:val="000000"/>
        </w:rPr>
        <w:t>, p</w:t>
      </w:r>
      <w:r w:rsidR="0017080A" w:rsidRPr="0017080A">
        <w:rPr>
          <w:color w:val="000000"/>
        </w:rPr>
        <w:t>atients presented with double primary cancer</w:t>
      </w:r>
      <w:r w:rsidR="0017080A" w:rsidRPr="0017080A">
        <w:rPr>
          <w:color w:val="000000"/>
        </w:rPr>
        <w:t>, m</w:t>
      </w:r>
      <w:r w:rsidR="0017080A" w:rsidRPr="0017080A">
        <w:rPr>
          <w:color w:val="000000"/>
        </w:rPr>
        <w:t>etastatic breast cancer</w:t>
      </w:r>
      <w:r w:rsidR="0017080A" w:rsidRPr="0017080A">
        <w:rPr>
          <w:color w:val="000000"/>
        </w:rPr>
        <w:t>, p</w:t>
      </w:r>
      <w:r w:rsidR="0017080A" w:rsidRPr="0017080A">
        <w:rPr>
          <w:color w:val="000000"/>
        </w:rPr>
        <w:t>atients who received treatment</w:t>
      </w:r>
      <w:r w:rsidR="0017080A" w:rsidRPr="0017080A">
        <w:rPr>
          <w:color w:val="000000"/>
        </w:rPr>
        <w:t>, r</w:t>
      </w:r>
      <w:r w:rsidR="0017080A" w:rsidRPr="0017080A">
        <w:rPr>
          <w:color w:val="000000"/>
        </w:rPr>
        <w:t>ecurrent breast cancer</w:t>
      </w:r>
      <w:r w:rsidR="0017080A" w:rsidRPr="0017080A">
        <w:rPr>
          <w:color w:val="000000"/>
        </w:rPr>
        <w:t xml:space="preserve"> and </w:t>
      </w:r>
      <w:r w:rsidR="0017080A" w:rsidRPr="0017080A">
        <w:rPr>
          <w:color w:val="000000"/>
        </w:rPr>
        <w:t xml:space="preserve">with </w:t>
      </w:r>
      <w:r w:rsidR="0017080A" w:rsidRPr="000E12C8">
        <w:rPr>
          <w:color w:val="000000"/>
        </w:rPr>
        <w:t>additional hematological diseases.</w:t>
      </w:r>
    </w:p>
    <w:p w14:paraId="746946EC" w14:textId="4925C242" w:rsidR="000C5FCB" w:rsidRPr="000E12C8" w:rsidRDefault="000C5FCB" w:rsidP="000C5FCB">
      <w:pPr>
        <w:pStyle w:val="P"/>
        <w:rPr>
          <w:rFonts w:ascii="Times New Roman" w:eastAsia="Times New Roman" w:hAnsi="Times New Roman" w:cs="Times New Roman"/>
          <w:b/>
          <w:bCs/>
        </w:rPr>
      </w:pPr>
      <w:r w:rsidRPr="000E12C8">
        <w:rPr>
          <w:b/>
          <w:bCs/>
          <w:color w:val="000000"/>
        </w:rPr>
        <w:t xml:space="preserve">Grouping: </w:t>
      </w:r>
      <w:r w:rsidRPr="000E12C8">
        <w:t>Patients were divided into equal groups</w:t>
      </w:r>
      <w:r w:rsidR="000E12C8" w:rsidRPr="000E12C8">
        <w:t xml:space="preserve"> </w:t>
      </w:r>
      <w:r w:rsidR="000E12C8" w:rsidRPr="000E12C8">
        <w:t>regarding PLR</w:t>
      </w:r>
      <w:r w:rsidR="000E12C8" w:rsidRPr="000E12C8">
        <w:t xml:space="preserve"> </w:t>
      </w:r>
      <w:r w:rsidRPr="000E12C8">
        <w:t xml:space="preserve">: </w:t>
      </w:r>
      <w:r w:rsidRPr="000E12C8">
        <w:rPr>
          <w:rFonts w:ascii="Times New Roman" w:eastAsia="Times New Roman" w:hAnsi="Times New Roman" w:cs="Times New Roman"/>
          <w:b/>
        </w:rPr>
        <w:t xml:space="preserve">Group </w:t>
      </w:r>
      <w:r w:rsidR="000E12C8" w:rsidRPr="000E12C8">
        <w:rPr>
          <w:rFonts w:ascii="Times New Roman" w:eastAsia="Times New Roman" w:hAnsi="Times New Roman" w:cs="Times New Roman"/>
          <w:b/>
        </w:rPr>
        <w:t>I (n=57)</w:t>
      </w:r>
      <w:r w:rsidRPr="000E12C8">
        <w:rPr>
          <w:rFonts w:ascii="Times New Roman" w:eastAsia="Times New Roman" w:hAnsi="Times New Roman" w:cs="Times New Roman"/>
          <w:b/>
        </w:rPr>
        <w:t>:</w:t>
      </w:r>
      <w:r w:rsidRPr="000E12C8">
        <w:rPr>
          <w:rFonts w:ascii="Times New Roman" w:eastAsia="Times New Roman" w:hAnsi="Times New Roman" w:cs="Times New Roman"/>
          <w:b/>
          <w:color w:val="C00000"/>
        </w:rPr>
        <w:t xml:space="preserve"> </w:t>
      </w:r>
      <w:r w:rsidR="000E12C8" w:rsidRPr="000E12C8">
        <w:rPr>
          <w:rFonts w:ascii="Times New Roman" w:eastAsia="Times New Roman" w:hAnsi="Times New Roman" w:cs="Times New Roman"/>
        </w:rPr>
        <w:t>High PLR &gt;150</w:t>
      </w:r>
      <w:r w:rsidRPr="000E12C8">
        <w:rPr>
          <w:rFonts w:ascii="Times New Roman" w:eastAsia="Times New Roman" w:hAnsi="Times New Roman" w:cs="Times New Roman"/>
        </w:rPr>
        <w:t xml:space="preserve">. </w:t>
      </w:r>
      <w:r w:rsidRPr="000E12C8">
        <w:rPr>
          <w:rFonts w:ascii="Times New Roman" w:eastAsia="Times New Roman" w:hAnsi="Times New Roman" w:cs="Times New Roman"/>
          <w:b/>
        </w:rPr>
        <w:t xml:space="preserve">Group </w:t>
      </w:r>
      <w:r w:rsidR="00310A98">
        <w:rPr>
          <w:rFonts w:ascii="Times New Roman" w:eastAsia="Times New Roman" w:hAnsi="Times New Roman" w:cs="Times New Roman"/>
          <w:b/>
        </w:rPr>
        <w:t>II</w:t>
      </w:r>
      <w:r w:rsidR="000E12C8" w:rsidRPr="000E12C8">
        <w:rPr>
          <w:rFonts w:ascii="Times New Roman" w:eastAsia="Times New Roman" w:hAnsi="Times New Roman" w:cs="Times New Roman"/>
          <w:b/>
        </w:rPr>
        <w:t xml:space="preserve"> (n=43)</w:t>
      </w:r>
      <w:r w:rsidRPr="000E12C8">
        <w:rPr>
          <w:rFonts w:ascii="Times New Roman" w:eastAsia="Times New Roman" w:hAnsi="Times New Roman" w:cs="Times New Roman"/>
          <w:b/>
        </w:rPr>
        <w:t>:</w:t>
      </w:r>
      <w:r w:rsidRPr="000E12C8">
        <w:rPr>
          <w:rFonts w:ascii="Times New Roman" w:eastAsia="Times New Roman" w:hAnsi="Times New Roman" w:cs="Times New Roman"/>
          <w:b/>
          <w:color w:val="C00000"/>
        </w:rPr>
        <w:t xml:space="preserve"> </w:t>
      </w:r>
      <w:r w:rsidR="000E12C8" w:rsidRPr="000E12C8">
        <w:rPr>
          <w:rFonts w:ascii="Times New Roman" w:eastAsia="Times New Roman" w:hAnsi="Times New Roman" w:cs="Times New Roman"/>
        </w:rPr>
        <w:t>Low PLR &lt;150</w:t>
      </w:r>
      <w:r w:rsidRPr="000E12C8">
        <w:rPr>
          <w:rFonts w:ascii="Times New Roman" w:eastAsia="Times New Roman" w:hAnsi="Times New Roman" w:cs="Times New Roman"/>
        </w:rPr>
        <w:t>.</w:t>
      </w:r>
    </w:p>
    <w:p w14:paraId="05D2BCA8" w14:textId="6BF262D7" w:rsidR="000C5FCB" w:rsidRPr="00DF16A5" w:rsidRDefault="000C5FCB" w:rsidP="0017080A">
      <w:pPr>
        <w:pStyle w:val="P"/>
        <w:rPr>
          <w:rFonts w:ascii="Times New Roman" w:eastAsia="Times New Roman" w:hAnsi="Times New Roman" w:cs="Times New Roman"/>
          <w:highlight w:val="yellow"/>
        </w:rPr>
      </w:pPr>
      <w:r w:rsidRPr="0017080A">
        <w:rPr>
          <w:b/>
          <w:bCs/>
        </w:rPr>
        <w:lastRenderedPageBreak/>
        <w:t xml:space="preserve">All studied cases were subjected to the following: </w:t>
      </w:r>
      <w:r w:rsidR="0017080A" w:rsidRPr="0017080A">
        <w:rPr>
          <w:b/>
          <w:bCs/>
          <w:lang w:bidi="en-US"/>
        </w:rPr>
        <w:t>Full history taking</w:t>
      </w:r>
      <w:r w:rsidRPr="0017080A">
        <w:rPr>
          <w:b/>
          <w:bCs/>
          <w:lang w:bidi="en-US"/>
        </w:rPr>
        <w:t>, including [</w:t>
      </w:r>
      <w:r w:rsidR="0017080A" w:rsidRPr="0017080A">
        <w:t>Demographic Information</w:t>
      </w:r>
      <w:r w:rsidR="0017080A" w:rsidRPr="0017080A">
        <w:t xml:space="preserve"> including</w:t>
      </w:r>
      <w:r w:rsidR="0017080A" w:rsidRPr="0017080A">
        <w:t xml:space="preserve"> age, </w:t>
      </w:r>
      <w:r w:rsidR="000E12C8">
        <w:t>g</w:t>
      </w:r>
      <w:r w:rsidR="0017080A" w:rsidRPr="0017080A">
        <w:t xml:space="preserve">ender, </w:t>
      </w:r>
      <w:r w:rsidR="000E12C8">
        <w:t>e</w:t>
      </w:r>
      <w:r w:rsidR="0017080A" w:rsidRPr="0017080A">
        <w:t xml:space="preserve">thnicity, </w:t>
      </w:r>
      <w:r w:rsidR="000E12C8">
        <w:t>o</w:t>
      </w:r>
      <w:r w:rsidR="0017080A" w:rsidRPr="0017080A">
        <w:t>ccupation</w:t>
      </w:r>
      <w:r w:rsidR="0017080A" w:rsidRPr="0017080A">
        <w:t>, p</w:t>
      </w:r>
      <w:r w:rsidR="0017080A" w:rsidRPr="0017080A">
        <w:t xml:space="preserve">resenting </w:t>
      </w:r>
      <w:r w:rsidR="0017080A" w:rsidRPr="0017080A">
        <w:t>c</w:t>
      </w:r>
      <w:r w:rsidR="0017080A" w:rsidRPr="0017080A">
        <w:t>omplaint</w:t>
      </w:r>
      <w:r w:rsidR="0017080A" w:rsidRPr="0017080A">
        <w:t xml:space="preserve"> including </w:t>
      </w:r>
      <w:r w:rsidR="0017080A" w:rsidRPr="0017080A">
        <w:t>chief complaint (breast lump, pain, nipple discharge, skin changes), duration of symptoms, progression of symptoms</w:t>
      </w:r>
      <w:r w:rsidR="0017080A" w:rsidRPr="0017080A">
        <w:t>, p</w:t>
      </w:r>
      <w:r w:rsidR="0017080A" w:rsidRPr="0017080A">
        <w:t xml:space="preserve">ast </w:t>
      </w:r>
      <w:r w:rsidR="0017080A" w:rsidRPr="0017080A">
        <w:t xml:space="preserve">medical history including </w:t>
      </w:r>
      <w:r w:rsidR="0017080A" w:rsidRPr="0017080A">
        <w:t>history of breast cancer or other cancers, previous breast biopsies or surgeries, comorbidities, history of thrombocytopenia, thrombocytosis, or lymphopenia</w:t>
      </w:r>
      <w:r w:rsidR="0017080A" w:rsidRPr="0017080A">
        <w:t>, f</w:t>
      </w:r>
      <w:r w:rsidR="0017080A" w:rsidRPr="0017080A">
        <w:t xml:space="preserve">amily </w:t>
      </w:r>
      <w:r w:rsidR="0017080A" w:rsidRPr="0017080A">
        <w:t>h</w:t>
      </w:r>
      <w:r w:rsidR="0017080A" w:rsidRPr="0017080A">
        <w:t>istory</w:t>
      </w:r>
      <w:r w:rsidR="0017080A" w:rsidRPr="0017080A">
        <w:t xml:space="preserve"> including </w:t>
      </w:r>
      <w:r w:rsidR="0017080A" w:rsidRPr="0017080A">
        <w:t>family history of breast cancer or other malignancies, genetic predisposition</w:t>
      </w:r>
      <w:r w:rsidR="0017080A" w:rsidRPr="0017080A">
        <w:t>, m</w:t>
      </w:r>
      <w:r w:rsidR="0017080A" w:rsidRPr="0017080A">
        <w:t xml:space="preserve">edication </w:t>
      </w:r>
      <w:r w:rsidR="0017080A" w:rsidRPr="0017080A">
        <w:t>h</w:t>
      </w:r>
      <w:r w:rsidR="0017080A" w:rsidRPr="0017080A">
        <w:t>istory: current medications, hormonal therapies or contraceptives, chemotherapy or radiotherapy history</w:t>
      </w:r>
      <w:r w:rsidR="0017080A" w:rsidRPr="0017080A">
        <w:t>, l</w:t>
      </w:r>
      <w:r w:rsidR="0017080A" w:rsidRPr="0017080A">
        <w:t xml:space="preserve">ifestyle and </w:t>
      </w:r>
      <w:r w:rsidR="0017080A" w:rsidRPr="0017080A">
        <w:t xml:space="preserve">social history including </w:t>
      </w:r>
      <w:r w:rsidR="0017080A" w:rsidRPr="0017080A">
        <w:t>smoking, alcohol consumption, and drug use, physical activity and diet, exposure to environmental carcinogens</w:t>
      </w:r>
      <w:r w:rsidR="0017080A" w:rsidRPr="0017080A">
        <w:t>, m</w:t>
      </w:r>
      <w:r w:rsidR="0017080A" w:rsidRPr="0017080A">
        <w:t xml:space="preserve">enstrual and </w:t>
      </w:r>
      <w:r w:rsidR="0017080A" w:rsidRPr="0017080A">
        <w:t xml:space="preserve">reproductive history </w:t>
      </w:r>
      <w:r w:rsidR="00B42544">
        <w:t>including</w:t>
      </w:r>
      <w:r w:rsidR="0017080A" w:rsidRPr="0017080A">
        <w:t xml:space="preserve"> age at menarche and menopause, parity and age at first childbirth, history of breastfeeding, </w:t>
      </w:r>
      <w:r w:rsidR="0017080A" w:rsidRPr="0017080A">
        <w:t>u</w:t>
      </w:r>
      <w:r w:rsidR="0017080A" w:rsidRPr="0017080A">
        <w:t>se of hormone replacement therapy</w:t>
      </w:r>
      <w:r w:rsidRPr="0017080A">
        <w:t xml:space="preserve">]. </w:t>
      </w:r>
      <w:r w:rsidRPr="0017080A">
        <w:rPr>
          <w:b/>
          <w:bCs/>
          <w:lang w:bidi="en-US"/>
        </w:rPr>
        <w:t xml:space="preserve">Full clinical examination: </w:t>
      </w:r>
      <w:r w:rsidRPr="0017080A">
        <w:rPr>
          <w:rFonts w:ascii="Times New Roman" w:eastAsia="Times New Roman" w:hAnsi="Times New Roman" w:cs="Times New Roman"/>
          <w:b/>
          <w:lang w:bidi="en-US"/>
        </w:rPr>
        <w:t>General examination including [</w:t>
      </w:r>
      <w:r w:rsidR="000E12C8">
        <w:rPr>
          <w:rFonts w:ascii="Times New Roman" w:eastAsia="Times New Roman" w:hAnsi="Times New Roman" w:cs="Times New Roman"/>
        </w:rPr>
        <w:t>V</w:t>
      </w:r>
      <w:r w:rsidR="0017080A" w:rsidRPr="0017080A">
        <w:rPr>
          <w:rFonts w:ascii="Times New Roman" w:eastAsia="Times New Roman" w:hAnsi="Times New Roman" w:cs="Times New Roman"/>
        </w:rPr>
        <w:t>ital signs (blood pressure, heart rate, respiratory rate, temperature), general appearance (e.g., pallor, lymphadenopathy), weight and BMI was calculated by dividing a person's weight in kilograms by the square of their height in meters</w:t>
      </w:r>
      <w:r w:rsidR="00B42544">
        <w:rPr>
          <w:rFonts w:ascii="Times New Roman" w:eastAsia="Times New Roman" w:hAnsi="Times New Roman" w:cs="Times New Roman"/>
        </w:rPr>
        <w:t xml:space="preserve"> </w:t>
      </w:r>
      <w:r w:rsidR="00B42544">
        <w:fldChar w:fldCharType="begin"/>
      </w:r>
      <w:r w:rsidR="008F3B3E">
        <w:instrText xml:space="preserve"> ADDIN EN.CITE &lt;EndNote&gt;&lt;Cite&gt;&lt;Author&gt;Khanna&lt;/Author&gt;&lt;Year&gt;2022&lt;/Year&gt;&lt;RecNum&gt;7&lt;/RecNum&gt;&lt;DisplayText&gt;(7)&lt;/DisplayText&gt;&lt;record&gt;&lt;rec-number&gt;7&lt;/rec-number&gt;&lt;foreign-keys&gt;&lt;key app="EN" db-id="detrs55a600rv1effwovspsb0e0erzz992ta" timestamp="1748857286"&gt;7&lt;/key&gt;&lt;/foreign-keys&gt;&lt;ref-type name="Journal Article"&gt;17&lt;/ref-type&gt;&lt;contributors&gt;&lt;authors&gt;&lt;author&gt;Khanna, D.&lt;/author&gt;&lt;author&gt;Peltzer, C.&lt;/author&gt;&lt;author&gt;Kahar, P.&lt;/author&gt;&lt;author&gt;Parmar, M. S.&lt;/author&gt;&lt;/authors&gt;&lt;/contributors&gt;&lt;auth-address&gt;Foundational Sciences, Dr. Kiran C. Patel College of Osteopathic Medicine, Nova Southeastern University, Clearwater, USA.&amp;#xD;Department of Health Sciences, Florida Gulf Coast University, Fort Myers, USA.&lt;/auth-address&gt;&lt;titles&gt;&lt;title&gt;Body Mass Index (BMI): A Screening Tool Analysis&lt;/title&gt;&lt;secondary-title&gt;Cureus&lt;/secondary-title&gt;&lt;/titles&gt;&lt;periodical&gt;&lt;full-title&gt;Cureus&lt;/full-title&gt;&lt;/periodical&gt;&lt;pages&gt;22-29&lt;/pages&gt;&lt;volume&gt;14&lt;/volume&gt;&lt;number&gt;2&lt;/number&gt;&lt;edition&gt;20220211&lt;/edition&gt;&lt;keywords&gt;&lt;keyword&gt;body mass index: bmi&lt;/keyword&gt;&lt;keyword&gt;childhood obesity&lt;/keyword&gt;&lt;keyword&gt;diabetes&lt;/keyword&gt;&lt;keyword&gt;health predictor&lt;/keyword&gt;&lt;keyword&gt;hypercholesterolemia&lt;/keyword&gt;&lt;keyword&gt;hypertension&lt;/keyword&gt;&lt;keyword&gt;mortality&lt;/keyword&gt;&lt;keyword&gt;muscle mass&lt;/keyword&gt;&lt;keyword&gt;waist circumference&lt;/keyword&gt;&lt;keyword&gt;waist hip ratio&lt;/keyword&gt;&lt;/keywords&gt;&lt;dates&gt;&lt;year&gt;2022&lt;/year&gt;&lt;pub-dates&gt;&lt;date&gt;Feb&lt;/date&gt;&lt;/pub-dates&gt;&lt;/dates&gt;&lt;isbn&gt;2168-8184 (Print)&amp;#xD;2168-8184&lt;/isbn&gt;&lt;accession-num&gt;35308730&lt;/accession-num&gt;&lt;urls&gt;&lt;/urls&gt;&lt;custom1&gt;The authors have declared that no competing interests exist.&lt;/custom1&gt;&lt;custom2&gt;PMC8920809&lt;/custom2&gt;&lt;electronic-resource-num&gt;10.7759/cureus.22119&lt;/electronic-resource-num&gt;&lt;remote-database-provider&gt;NLM&lt;/remote-database-provider&gt;&lt;language&gt;eng&lt;/language&gt;&lt;/record&gt;&lt;/Cite&gt;&lt;/EndNote&gt;</w:instrText>
      </w:r>
      <w:r w:rsidR="00B42544">
        <w:fldChar w:fldCharType="separate"/>
      </w:r>
      <w:r w:rsidR="000E12C8">
        <w:rPr>
          <w:noProof/>
        </w:rPr>
        <w:t>(7)</w:t>
      </w:r>
      <w:r w:rsidR="00B42544">
        <w:fldChar w:fldCharType="end"/>
      </w:r>
      <w:r w:rsidRPr="0017080A">
        <w:rPr>
          <w:rFonts w:ascii="Times New Roman" w:eastAsia="Times New Roman" w:hAnsi="Times New Roman" w:cs="Times New Roman"/>
        </w:rPr>
        <w:t>]</w:t>
      </w:r>
      <w:r w:rsidR="0017080A" w:rsidRPr="0017080A">
        <w:rPr>
          <w:rFonts w:ascii="Times New Roman" w:eastAsia="Times New Roman" w:hAnsi="Times New Roman" w:cs="Times New Roman"/>
        </w:rPr>
        <w:t>, b</w:t>
      </w:r>
      <w:r w:rsidR="0017080A" w:rsidRPr="0017080A">
        <w:rPr>
          <w:rFonts w:ascii="Times New Roman" w:eastAsia="Times New Roman" w:hAnsi="Times New Roman" w:cs="Times New Roman"/>
        </w:rPr>
        <w:t>reast examination</w:t>
      </w:r>
      <w:r w:rsidR="0017080A" w:rsidRPr="0017080A">
        <w:rPr>
          <w:rFonts w:ascii="Times New Roman" w:eastAsia="Times New Roman" w:hAnsi="Times New Roman" w:cs="Times New Roman"/>
        </w:rPr>
        <w:t xml:space="preserve"> including i</w:t>
      </w:r>
      <w:r w:rsidR="0017080A" w:rsidRPr="0017080A">
        <w:rPr>
          <w:rFonts w:ascii="Times New Roman" w:eastAsia="Times New Roman" w:hAnsi="Times New Roman" w:cs="Times New Roman"/>
        </w:rPr>
        <w:t>nspection</w:t>
      </w:r>
      <w:r w:rsidR="0017080A" w:rsidRPr="0017080A">
        <w:rPr>
          <w:rFonts w:ascii="Times New Roman" w:eastAsia="Times New Roman" w:hAnsi="Times New Roman" w:cs="Times New Roman"/>
        </w:rPr>
        <w:t>, p</w:t>
      </w:r>
      <w:r w:rsidR="0017080A" w:rsidRPr="0017080A">
        <w:rPr>
          <w:rFonts w:ascii="Times New Roman" w:eastAsia="Times New Roman" w:hAnsi="Times New Roman" w:cs="Times New Roman"/>
        </w:rPr>
        <w:t>alpation</w:t>
      </w:r>
      <w:r w:rsidR="0017080A" w:rsidRPr="0017080A">
        <w:rPr>
          <w:rFonts w:ascii="Times New Roman" w:eastAsia="Times New Roman" w:hAnsi="Times New Roman" w:cs="Times New Roman"/>
        </w:rPr>
        <w:t xml:space="preserve"> and s</w:t>
      </w:r>
      <w:r w:rsidR="0017080A" w:rsidRPr="0017080A">
        <w:rPr>
          <w:rFonts w:ascii="Times New Roman" w:eastAsia="Times New Roman" w:hAnsi="Times New Roman" w:cs="Times New Roman"/>
        </w:rPr>
        <w:t>ystemic examination</w:t>
      </w:r>
      <w:r w:rsidR="0017080A" w:rsidRPr="0017080A">
        <w:rPr>
          <w:rFonts w:ascii="Times New Roman" w:eastAsia="Times New Roman" w:hAnsi="Times New Roman" w:cs="Times New Roman"/>
        </w:rPr>
        <w:t xml:space="preserve"> including a</w:t>
      </w:r>
      <w:r w:rsidR="0017080A" w:rsidRPr="0017080A">
        <w:rPr>
          <w:rFonts w:ascii="Times New Roman" w:eastAsia="Times New Roman" w:hAnsi="Times New Roman" w:cs="Times New Roman"/>
        </w:rPr>
        <w:t>bdominal examination</w:t>
      </w:r>
      <w:r w:rsidR="0017080A" w:rsidRPr="0017080A">
        <w:rPr>
          <w:rFonts w:ascii="Times New Roman" w:eastAsia="Times New Roman" w:hAnsi="Times New Roman" w:cs="Times New Roman"/>
        </w:rPr>
        <w:t xml:space="preserve"> and r</w:t>
      </w:r>
      <w:r w:rsidR="0017080A" w:rsidRPr="0017080A">
        <w:rPr>
          <w:rFonts w:ascii="Times New Roman" w:eastAsia="Times New Roman" w:hAnsi="Times New Roman" w:cs="Times New Roman"/>
        </w:rPr>
        <w:t>espiratory examination</w:t>
      </w:r>
      <w:r w:rsidRPr="0017080A">
        <w:rPr>
          <w:rFonts w:ascii="Times New Roman" w:eastAsia="Times New Roman" w:hAnsi="Times New Roman" w:cs="Times New Roman"/>
        </w:rPr>
        <w:t xml:space="preserve">. </w:t>
      </w:r>
      <w:r w:rsidRPr="0017080A">
        <w:rPr>
          <w:rFonts w:ascii="Times New Roman" w:eastAsia="Times New Roman" w:hAnsi="Times New Roman" w:cs="Times New Roman"/>
          <w:b/>
          <w:bCs/>
        </w:rPr>
        <w:t>Routine laboratory investigations [</w:t>
      </w:r>
      <w:r w:rsidR="0017080A" w:rsidRPr="0017080A">
        <w:rPr>
          <w:rFonts w:ascii="Times New Roman" w:eastAsia="Times New Roman" w:hAnsi="Times New Roman" w:cs="Times New Roman"/>
        </w:rPr>
        <w:t xml:space="preserve">Complete </w:t>
      </w:r>
      <w:r w:rsidR="0017080A" w:rsidRPr="0017080A">
        <w:rPr>
          <w:rFonts w:ascii="Times New Roman" w:eastAsia="Times New Roman" w:hAnsi="Times New Roman" w:cs="Times New Roman"/>
        </w:rPr>
        <w:t xml:space="preserve">blood count including </w:t>
      </w:r>
      <w:r w:rsidR="0017080A" w:rsidRPr="0017080A">
        <w:rPr>
          <w:rFonts w:ascii="Times New Roman" w:eastAsia="Times New Roman" w:hAnsi="Times New Roman" w:cs="Times New Roman"/>
        </w:rPr>
        <w:t xml:space="preserve"> platelet count, lymphocyte count, calculation of PLR</w:t>
      </w:r>
      <w:r w:rsidR="0017080A" w:rsidRPr="0017080A">
        <w:rPr>
          <w:rFonts w:ascii="Times New Roman" w:eastAsia="Times New Roman" w:hAnsi="Times New Roman" w:cs="Times New Roman"/>
        </w:rPr>
        <w:t>, t</w:t>
      </w:r>
      <w:r w:rsidR="0017080A" w:rsidRPr="0017080A">
        <w:rPr>
          <w:rFonts w:ascii="Times New Roman" w:eastAsia="Times New Roman" w:hAnsi="Times New Roman" w:cs="Times New Roman"/>
        </w:rPr>
        <w:t xml:space="preserve">umor </w:t>
      </w:r>
      <w:r w:rsidR="0017080A" w:rsidRPr="0017080A">
        <w:rPr>
          <w:rFonts w:ascii="Times New Roman" w:eastAsia="Times New Roman" w:hAnsi="Times New Roman" w:cs="Times New Roman"/>
        </w:rPr>
        <w:t>m</w:t>
      </w:r>
      <w:r w:rsidR="0017080A" w:rsidRPr="0017080A">
        <w:rPr>
          <w:rFonts w:ascii="Times New Roman" w:eastAsia="Times New Roman" w:hAnsi="Times New Roman" w:cs="Times New Roman"/>
        </w:rPr>
        <w:t>arkers</w:t>
      </w:r>
      <w:r w:rsidR="0017080A" w:rsidRPr="0017080A">
        <w:rPr>
          <w:rFonts w:ascii="Times New Roman" w:eastAsia="Times New Roman" w:hAnsi="Times New Roman" w:cs="Times New Roman"/>
        </w:rPr>
        <w:t xml:space="preserve"> including </w:t>
      </w:r>
      <w:r w:rsidR="0017080A" w:rsidRPr="00B42544">
        <w:rPr>
          <w:rFonts w:ascii="Times New Roman" w:eastAsia="Times New Roman" w:hAnsi="Times New Roman" w:cs="Times New Roman"/>
        </w:rPr>
        <w:t>CA 15-3, carcinoembryonic antigen</w:t>
      </w:r>
      <w:r w:rsidR="0017080A" w:rsidRPr="00B42544">
        <w:rPr>
          <w:rFonts w:ascii="Times New Roman" w:eastAsia="Times New Roman" w:hAnsi="Times New Roman" w:cs="Times New Roman"/>
        </w:rPr>
        <w:t>, h</w:t>
      </w:r>
      <w:r w:rsidR="0017080A" w:rsidRPr="00B42544">
        <w:rPr>
          <w:rFonts w:ascii="Times New Roman" w:eastAsia="Times New Roman" w:hAnsi="Times New Roman" w:cs="Times New Roman"/>
        </w:rPr>
        <w:t xml:space="preserve">ormonal </w:t>
      </w:r>
      <w:r w:rsidR="0017080A" w:rsidRPr="00B42544">
        <w:rPr>
          <w:rFonts w:ascii="Times New Roman" w:eastAsia="Times New Roman" w:hAnsi="Times New Roman" w:cs="Times New Roman"/>
        </w:rPr>
        <w:t>receptor st</w:t>
      </w:r>
      <w:r w:rsidR="0017080A" w:rsidRPr="00B42544">
        <w:rPr>
          <w:rFonts w:ascii="Times New Roman" w:eastAsia="Times New Roman" w:hAnsi="Times New Roman" w:cs="Times New Roman"/>
        </w:rPr>
        <w:t xml:space="preserve">atus: Estrogen receptor (ER), </w:t>
      </w:r>
      <w:r w:rsidR="00310A98">
        <w:rPr>
          <w:rFonts w:ascii="Times New Roman" w:eastAsia="Times New Roman" w:hAnsi="Times New Roman" w:cs="Times New Roman"/>
        </w:rPr>
        <w:t>p</w:t>
      </w:r>
      <w:r w:rsidR="0017080A" w:rsidRPr="00B42544">
        <w:rPr>
          <w:rFonts w:ascii="Times New Roman" w:eastAsia="Times New Roman" w:hAnsi="Times New Roman" w:cs="Times New Roman"/>
        </w:rPr>
        <w:t xml:space="preserve">rogesterone receptor (PR), </w:t>
      </w:r>
      <w:r w:rsidR="00310A98" w:rsidRPr="00310A98">
        <w:rPr>
          <w:rFonts w:ascii="Times New Roman" w:eastAsia="Times New Roman" w:hAnsi="Times New Roman" w:cs="Times New Roman"/>
        </w:rPr>
        <w:t>human epidermal growth factor receptor 2</w:t>
      </w:r>
      <w:r w:rsidR="00310A98">
        <w:rPr>
          <w:rFonts w:ascii="Times New Roman" w:eastAsia="Times New Roman" w:hAnsi="Times New Roman" w:cs="Times New Roman"/>
        </w:rPr>
        <w:t xml:space="preserve"> (</w:t>
      </w:r>
      <w:r w:rsidR="0017080A" w:rsidRPr="00B42544">
        <w:rPr>
          <w:rFonts w:ascii="Times New Roman" w:eastAsia="Times New Roman" w:hAnsi="Times New Roman" w:cs="Times New Roman"/>
        </w:rPr>
        <w:t>HER2</w:t>
      </w:r>
      <w:r w:rsidR="00310A98">
        <w:rPr>
          <w:rFonts w:ascii="Times New Roman" w:eastAsia="Times New Roman" w:hAnsi="Times New Roman" w:cs="Times New Roman"/>
        </w:rPr>
        <w:t>)</w:t>
      </w:r>
      <w:r w:rsidR="0017080A" w:rsidRPr="00B42544">
        <w:rPr>
          <w:rFonts w:ascii="Times New Roman" w:eastAsia="Times New Roman" w:hAnsi="Times New Roman" w:cs="Times New Roman"/>
        </w:rPr>
        <w:t>/neu status</w:t>
      </w:r>
      <w:r w:rsidR="0017080A" w:rsidRPr="00B42544">
        <w:rPr>
          <w:rFonts w:ascii="Times New Roman" w:eastAsia="Times New Roman" w:hAnsi="Times New Roman" w:cs="Times New Roman"/>
        </w:rPr>
        <w:t>, i</w:t>
      </w:r>
      <w:r w:rsidR="0017080A" w:rsidRPr="00B42544">
        <w:rPr>
          <w:rFonts w:ascii="Times New Roman" w:eastAsia="Times New Roman" w:hAnsi="Times New Roman" w:cs="Times New Roman"/>
        </w:rPr>
        <w:t xml:space="preserve">nflammatory </w:t>
      </w:r>
      <w:r w:rsidR="0017080A" w:rsidRPr="00B42544">
        <w:rPr>
          <w:rFonts w:ascii="Times New Roman" w:eastAsia="Times New Roman" w:hAnsi="Times New Roman" w:cs="Times New Roman"/>
        </w:rPr>
        <w:t>m</w:t>
      </w:r>
      <w:r w:rsidR="0017080A" w:rsidRPr="00B42544">
        <w:rPr>
          <w:rFonts w:ascii="Times New Roman" w:eastAsia="Times New Roman" w:hAnsi="Times New Roman" w:cs="Times New Roman"/>
        </w:rPr>
        <w:t>arkers</w:t>
      </w:r>
      <w:r w:rsidR="0017080A" w:rsidRPr="00B42544">
        <w:rPr>
          <w:rFonts w:ascii="Times New Roman" w:eastAsia="Times New Roman" w:hAnsi="Times New Roman" w:cs="Times New Roman"/>
        </w:rPr>
        <w:t xml:space="preserve"> including</w:t>
      </w:r>
      <w:r w:rsidR="0017080A" w:rsidRPr="00B42544">
        <w:rPr>
          <w:rFonts w:ascii="Times New Roman" w:eastAsia="Times New Roman" w:hAnsi="Times New Roman" w:cs="Times New Roman"/>
        </w:rPr>
        <w:t xml:space="preserve"> C-reactive protein, </w:t>
      </w:r>
      <w:r w:rsidR="00310A98">
        <w:rPr>
          <w:rFonts w:ascii="Times New Roman" w:eastAsia="Times New Roman" w:hAnsi="Times New Roman" w:cs="Times New Roman"/>
        </w:rPr>
        <w:t>e</w:t>
      </w:r>
      <w:r w:rsidR="0017080A" w:rsidRPr="00B42544">
        <w:rPr>
          <w:rFonts w:ascii="Times New Roman" w:eastAsia="Times New Roman" w:hAnsi="Times New Roman" w:cs="Times New Roman"/>
        </w:rPr>
        <w:t>rythrocyte sedimentation rate</w:t>
      </w:r>
      <w:r w:rsidR="0017080A" w:rsidRPr="00B42544">
        <w:rPr>
          <w:rFonts w:ascii="Times New Roman" w:eastAsia="Times New Roman" w:hAnsi="Times New Roman" w:cs="Times New Roman"/>
        </w:rPr>
        <w:t>, l</w:t>
      </w:r>
      <w:r w:rsidR="0017080A" w:rsidRPr="00B42544">
        <w:rPr>
          <w:rFonts w:ascii="Times New Roman" w:eastAsia="Times New Roman" w:hAnsi="Times New Roman" w:cs="Times New Roman"/>
        </w:rPr>
        <w:t xml:space="preserve">iver </w:t>
      </w:r>
      <w:r w:rsidR="0017080A" w:rsidRPr="00B42544">
        <w:rPr>
          <w:rFonts w:ascii="Times New Roman" w:eastAsia="Times New Roman" w:hAnsi="Times New Roman" w:cs="Times New Roman"/>
        </w:rPr>
        <w:t>and renal function tests</w:t>
      </w:r>
      <w:r w:rsidRPr="00B42544">
        <w:rPr>
          <w:rFonts w:ascii="Times New Roman" w:eastAsia="Times New Roman" w:hAnsi="Times New Roman" w:cs="Times New Roman"/>
        </w:rPr>
        <w:t>].</w:t>
      </w:r>
      <w:r w:rsidR="0017080A" w:rsidRPr="00B42544">
        <w:rPr>
          <w:rFonts w:ascii="Times New Roman" w:eastAsia="Times New Roman" w:hAnsi="Times New Roman" w:cs="Times New Roman"/>
        </w:rPr>
        <w:t xml:space="preserve"> </w:t>
      </w:r>
      <w:r w:rsidR="0017080A" w:rsidRPr="008F3B3E">
        <w:rPr>
          <w:rFonts w:ascii="Times New Roman" w:eastAsia="Times New Roman" w:hAnsi="Times New Roman" w:cs="Times New Roman"/>
          <w:b/>
          <w:bCs/>
        </w:rPr>
        <w:t>Imaging</w:t>
      </w:r>
      <w:r w:rsidR="0017080A" w:rsidRPr="008F3B3E">
        <w:rPr>
          <w:rFonts w:ascii="Times New Roman" w:eastAsia="Times New Roman" w:hAnsi="Times New Roman" w:cs="Times New Roman"/>
          <w:b/>
          <w:bCs/>
        </w:rPr>
        <w:t xml:space="preserve"> </w:t>
      </w:r>
      <w:r w:rsidR="0017080A" w:rsidRPr="00B42544">
        <w:rPr>
          <w:rFonts w:ascii="Times New Roman" w:eastAsia="Times New Roman" w:hAnsi="Times New Roman" w:cs="Times New Roman"/>
        </w:rPr>
        <w:t>including b</w:t>
      </w:r>
      <w:r w:rsidR="0017080A" w:rsidRPr="00B42544">
        <w:rPr>
          <w:rFonts w:ascii="Times New Roman" w:eastAsia="Times New Roman" w:hAnsi="Times New Roman" w:cs="Times New Roman"/>
        </w:rPr>
        <w:t>reast ultrasound</w:t>
      </w:r>
      <w:r w:rsidR="0017080A" w:rsidRPr="00B42544">
        <w:rPr>
          <w:rFonts w:ascii="Times New Roman" w:eastAsia="Times New Roman" w:hAnsi="Times New Roman" w:cs="Times New Roman"/>
        </w:rPr>
        <w:t xml:space="preserve">, </w:t>
      </w:r>
      <w:r w:rsidR="0017080A" w:rsidRPr="00B42544">
        <w:rPr>
          <w:rFonts w:ascii="Times New Roman" w:eastAsia="Times New Roman" w:hAnsi="Times New Roman" w:cs="Times New Roman"/>
        </w:rPr>
        <w:t>CT or PET-CT</w:t>
      </w:r>
      <w:r w:rsidR="000E12C8">
        <w:rPr>
          <w:rFonts w:ascii="Times New Roman" w:eastAsia="Times New Roman" w:hAnsi="Times New Roman" w:cs="Times New Roman"/>
        </w:rPr>
        <w:t xml:space="preserve">. </w:t>
      </w:r>
      <w:r w:rsidR="00B42544">
        <w:rPr>
          <w:rFonts w:ascii="Times New Roman" w:eastAsia="Times New Roman" w:hAnsi="Times New Roman" w:cs="Times New Roman"/>
        </w:rPr>
        <w:t>H</w:t>
      </w:r>
      <w:r w:rsidR="0017080A" w:rsidRPr="00B42544">
        <w:rPr>
          <w:rFonts w:ascii="Times New Roman" w:eastAsia="Times New Roman" w:hAnsi="Times New Roman" w:cs="Times New Roman"/>
        </w:rPr>
        <w:t>istopathology examination</w:t>
      </w:r>
      <w:r w:rsidR="0017080A" w:rsidRPr="0017080A">
        <w:rPr>
          <w:rFonts w:ascii="Times New Roman" w:eastAsia="Times New Roman" w:hAnsi="Times New Roman" w:cs="Times New Roman"/>
        </w:rPr>
        <w:t xml:space="preserve"> of H&amp;E-stained slides of the surgical specimen to confirm invasiveness of the neoplasm.</w:t>
      </w:r>
      <w:r w:rsidR="0017080A">
        <w:rPr>
          <w:rFonts w:ascii="Times New Roman" w:eastAsia="Times New Roman" w:hAnsi="Times New Roman" w:cs="Times New Roman"/>
        </w:rPr>
        <w:t xml:space="preserve"> </w:t>
      </w:r>
      <w:r w:rsidR="0017080A" w:rsidRPr="0017080A">
        <w:rPr>
          <w:rFonts w:ascii="Times New Roman" w:eastAsia="Times New Roman" w:hAnsi="Times New Roman" w:cs="Times New Roman"/>
        </w:rPr>
        <w:t>ER, PR and HER-2 by immunohistochemical interpretation.</w:t>
      </w:r>
    </w:p>
    <w:p w14:paraId="6DEC1986" w14:textId="76B70521" w:rsidR="0017080A" w:rsidRDefault="0017080A" w:rsidP="000E12C8">
      <w:pPr>
        <w:pStyle w:val="P"/>
      </w:pPr>
      <w:bookmarkStart w:id="1" w:name="_Hlk199759458"/>
      <w:r w:rsidRPr="00B42544">
        <w:rPr>
          <w:b/>
          <w:bCs/>
        </w:rPr>
        <w:t>Pathological assessments</w:t>
      </w:r>
      <w:r w:rsidR="000E12C8">
        <w:rPr>
          <w:b/>
          <w:bCs/>
        </w:rPr>
        <w:t xml:space="preserve">: </w:t>
      </w:r>
      <w:r>
        <w:t>All breast cancer biopsies and surgical specimens from patients who underwent Neoadjuvant Chemotherapy (NACT) at Chengdu Fifth People's Hospital (Sichuan, China) were processed for histopathological and immunohistochemical (IHC) evaluation.</w:t>
      </w:r>
      <w:r w:rsidR="000E12C8">
        <w:t xml:space="preserve"> </w:t>
      </w:r>
      <w:r>
        <w:t>Hematoxylin and eosin (H&amp;E)-stained slides were examined to confirm the invasiveness of the neoplasm. The nuclear grade was assessed using the Nottingham grading system.</w:t>
      </w:r>
    </w:p>
    <w:p w14:paraId="5EB693C0" w14:textId="6C3A5323" w:rsidR="0017080A" w:rsidRPr="00B42544" w:rsidRDefault="0017080A" w:rsidP="000E12C8">
      <w:pPr>
        <w:pStyle w:val="P"/>
      </w:pPr>
      <w:r w:rsidRPr="00B42544">
        <w:rPr>
          <w:b/>
          <w:bCs/>
        </w:rPr>
        <w:t>Immunohistochemical analysis</w:t>
      </w:r>
      <w:r w:rsidR="000E12C8">
        <w:rPr>
          <w:b/>
          <w:bCs/>
        </w:rPr>
        <w:t xml:space="preserve">: </w:t>
      </w:r>
      <w:r>
        <w:t>Tumors were classified as estrogen receptor (ER) or progesterone receptor (PR) positive if ≥10% of tumor cell nuclei exhibited receptor staining. HER2 positivity was defined according to ASCO/CAP guidelines, with a score of 3+ by IHC (</w:t>
      </w:r>
      <w:proofErr w:type="spellStart"/>
      <w:r>
        <w:t>HercepTest</w:t>
      </w:r>
      <w:proofErr w:type="spellEnd"/>
      <w:r>
        <w:t xml:space="preserve">™, </w:t>
      </w:r>
      <w:proofErr w:type="spellStart"/>
      <w:r>
        <w:t>Dako</w:t>
      </w:r>
      <w:proofErr w:type="spellEnd"/>
      <w:r>
        <w:t xml:space="preserve"> Italia, Milan, Italy) and/or HER2 gene amplification confirmed by fluorescence in situ hybridization or silver in situ hybridization (SISH). The Ki-67 index was assessed using the MIB-1 antibody, with a cutoff point of 14% to differentiate between luminal A and luminal B tumors.</w:t>
      </w:r>
    </w:p>
    <w:p w14:paraId="341C8549" w14:textId="2F7A6059" w:rsidR="0017080A" w:rsidRDefault="0017080A" w:rsidP="000E12C8">
      <w:pPr>
        <w:pStyle w:val="P"/>
      </w:pPr>
      <w:r w:rsidRPr="00B42544">
        <w:rPr>
          <w:b/>
          <w:bCs/>
        </w:rPr>
        <w:t>Molecular subtyping</w:t>
      </w:r>
      <w:r w:rsidR="000E12C8">
        <w:rPr>
          <w:b/>
          <w:bCs/>
        </w:rPr>
        <w:t xml:space="preserve">: </w:t>
      </w:r>
      <w:r>
        <w:t>Based on IHC and HER2 testing, tumors were categorized into molecular subtypes, including Luminal A, Luminal B/HER2-negative, Luminal B/HER2-positive, HER2-enriched, and Triple-negative.</w:t>
      </w:r>
    </w:p>
    <w:p w14:paraId="744500FC" w14:textId="76EDCFA4" w:rsidR="0017080A" w:rsidRDefault="0017080A" w:rsidP="000E12C8">
      <w:pPr>
        <w:pStyle w:val="P"/>
      </w:pPr>
      <w:r w:rsidRPr="00B42544">
        <w:rPr>
          <w:b/>
          <w:bCs/>
        </w:rPr>
        <w:t>Assessment of response to neoadjuvant chemotherapy (NACT)</w:t>
      </w:r>
      <w:r w:rsidR="000E12C8">
        <w:rPr>
          <w:b/>
          <w:bCs/>
        </w:rPr>
        <w:t xml:space="preserve">: </w:t>
      </w:r>
      <w:r>
        <w:t xml:space="preserve">Clinical responses were evaluated after every two cycles of NACT using the Response Evaluation Criteria in </w:t>
      </w:r>
      <w:r>
        <w:lastRenderedPageBreak/>
        <w:t>Solid Tumors (RECIST). Responses were categorized as partial response (PR) or non-PR. Following NACT, the pathological response was assessed microscopically on resected specimens. Pathological complete response (</w:t>
      </w:r>
      <w:proofErr w:type="spellStart"/>
      <w:r>
        <w:t>pCR</w:t>
      </w:r>
      <w:proofErr w:type="spellEnd"/>
      <w:r>
        <w:t xml:space="preserve">) was defined as the absence of invasive carcinoma in both the breast and lymph nodes. Patients with residual ductal carcinoma in situ (DCIS) were still considered to have achieved </w:t>
      </w:r>
      <w:proofErr w:type="spellStart"/>
      <w:r>
        <w:t>pCR</w:t>
      </w:r>
      <w:proofErr w:type="spellEnd"/>
      <w:r>
        <w:t>.</w:t>
      </w:r>
    </w:p>
    <w:p w14:paraId="7AD0646E" w14:textId="3607FB62" w:rsidR="0066215A" w:rsidRPr="00DF16A5" w:rsidRDefault="0017080A" w:rsidP="000E12C8">
      <w:pPr>
        <w:pStyle w:val="P"/>
        <w:rPr>
          <w:highlight w:val="yellow"/>
        </w:rPr>
      </w:pPr>
      <w:r w:rsidRPr="00B42544">
        <w:rPr>
          <w:b/>
          <w:bCs/>
        </w:rPr>
        <w:t>Platelet-to-lymphocyte ratio (PLR) analysis</w:t>
      </w:r>
      <w:r w:rsidR="000E12C8">
        <w:rPr>
          <w:b/>
          <w:bCs/>
        </w:rPr>
        <w:t xml:space="preserve">: </w:t>
      </w:r>
      <w:r>
        <w:t xml:space="preserve">To evaluate the inflammatory response, blood samples were collected from all patients </w:t>
      </w:r>
      <w:bookmarkEnd w:id="1"/>
      <w:r>
        <w:t xml:space="preserve">before treatment initiation and two weeks after the second NACT cycle. PLR was calculated as the ratio of total platelet count to total lymphocyte count. This study prioritized PLR over the neutrophil-to-lymphocyte ratio (NLR) due to the routine administration of granulocyte colony-stimulating factor (G-CSF) during NACT, which could have affected neutrophil counts. In contrast, </w:t>
      </w:r>
      <w:proofErr w:type="spellStart"/>
      <w:r>
        <w:t>thrombocytopoiesis</w:t>
      </w:r>
      <w:proofErr w:type="spellEnd"/>
      <w:r>
        <w:t xml:space="preserve"> agents were not used during early NACT cycles, ensuring the reliability of PLR measurements as an inflammatory marker.</w:t>
      </w:r>
    </w:p>
    <w:p w14:paraId="6EEF29D9" w14:textId="6B781D7E" w:rsidR="007F1B66" w:rsidRPr="00B42544" w:rsidRDefault="002F36D1" w:rsidP="00B42544">
      <w:pPr>
        <w:spacing w:before="100" w:beforeAutospacing="1" w:after="100" w:afterAutospacing="1" w:line="360" w:lineRule="auto"/>
        <w:jc w:val="both"/>
        <w:rPr>
          <w:rFonts w:asciiTheme="majorBidi" w:hAnsiTheme="majorBidi" w:cstheme="majorBidi"/>
          <w:sz w:val="24"/>
          <w:szCs w:val="24"/>
          <w:highlight w:val="yellow"/>
        </w:rPr>
      </w:pPr>
      <w:r w:rsidRPr="00DF16A5">
        <w:rPr>
          <w:rFonts w:asciiTheme="majorBidi" w:hAnsiTheme="majorBidi" w:cstheme="majorBidi"/>
          <w:b/>
          <w:bCs/>
          <w:sz w:val="24"/>
          <w:szCs w:val="24"/>
          <w:highlight w:val="yellow"/>
        </w:rPr>
        <w:t>Approval code</w:t>
      </w:r>
      <w:r w:rsidR="0040421D" w:rsidRPr="00DF16A5">
        <w:rPr>
          <w:rFonts w:asciiTheme="majorBidi" w:hAnsiTheme="majorBidi" w:cstheme="majorBidi"/>
          <w:b/>
          <w:bCs/>
          <w:sz w:val="24"/>
          <w:szCs w:val="24"/>
          <w:highlight w:val="yellow"/>
        </w:rPr>
        <w:t>:</w:t>
      </w:r>
      <w:r w:rsidR="0040421D" w:rsidRPr="00DF16A5">
        <w:rPr>
          <w:rFonts w:asciiTheme="majorBidi" w:hAnsiTheme="majorBidi" w:cstheme="majorBidi"/>
          <w:sz w:val="24"/>
          <w:szCs w:val="24"/>
          <w:highlight w:val="yellow"/>
        </w:rPr>
        <w:t xml:space="preserve"> </w:t>
      </w:r>
    </w:p>
    <w:p w14:paraId="71C973FB" w14:textId="641AB06D" w:rsidR="007E2F24" w:rsidRPr="00B42544" w:rsidRDefault="007E2F24" w:rsidP="008552CF">
      <w:pPr>
        <w:pStyle w:val="P"/>
        <w:rPr>
          <w:b/>
          <w:bCs/>
        </w:rPr>
      </w:pPr>
      <w:r w:rsidRPr="00B42544">
        <w:rPr>
          <w:b/>
          <w:bCs/>
        </w:rPr>
        <w:t xml:space="preserve">Statistical analysis </w:t>
      </w:r>
    </w:p>
    <w:p w14:paraId="546AB2C9" w14:textId="03C98CC7" w:rsidR="00A4365C" w:rsidRPr="00B42544" w:rsidRDefault="00B42544" w:rsidP="00B42544">
      <w:pPr>
        <w:pStyle w:val="P"/>
      </w:pPr>
      <w:r w:rsidRPr="00B42544">
        <w:t>Statistical analysis was done by SPSS v26 (IBM©, Armonk, NY, USA). The Shapiro-Wilks test and histograms were used to evaluate the normality of the distribution of data. Quantitative parametric data were presented as mean and standard deviation (SD) and were analyzed by unpaired student t-test. Qualitative variables were presented as frequency and percentage (%) and analyzed using the Chi-square test or Fissure exact when appropriate. A two-tailed P value &lt; 0.05 was considered statistically significant. Paired sample t-test is a statistical technique that is used to compare two population means in the case of two samples that are correlated.</w:t>
      </w:r>
    </w:p>
    <w:p w14:paraId="31B11401" w14:textId="516815C4" w:rsidR="007C4AF4" w:rsidRPr="00B42544" w:rsidRDefault="007C4AF4" w:rsidP="00ED1E3C">
      <w:pPr>
        <w:spacing w:before="240" w:after="0" w:line="240" w:lineRule="auto"/>
        <w:jc w:val="lowKashida"/>
        <w:rPr>
          <w:rFonts w:asciiTheme="majorBidi" w:hAnsiTheme="majorBidi" w:cstheme="majorBidi"/>
          <w:b/>
          <w:bCs/>
          <w:sz w:val="24"/>
          <w:szCs w:val="24"/>
          <w:u w:val="single"/>
          <w:lang w:val="en-GB"/>
        </w:rPr>
      </w:pPr>
      <w:r w:rsidRPr="00B42544">
        <w:rPr>
          <w:rFonts w:asciiTheme="majorBidi" w:hAnsiTheme="majorBidi" w:cstheme="majorBidi"/>
          <w:b/>
          <w:bCs/>
          <w:sz w:val="24"/>
          <w:szCs w:val="24"/>
          <w:u w:val="single"/>
          <w:lang w:val="en-GB"/>
        </w:rPr>
        <w:t>Results</w:t>
      </w:r>
    </w:p>
    <w:p w14:paraId="4C80F347" w14:textId="331567F4" w:rsidR="00FC039A" w:rsidRPr="00DF16A5" w:rsidRDefault="00BA56AD" w:rsidP="00FC039A">
      <w:pPr>
        <w:pStyle w:val="P"/>
        <w:rPr>
          <w:highlight w:val="yellow"/>
        </w:rPr>
      </w:pPr>
      <w:bookmarkStart w:id="2" w:name="_Ref132084226"/>
      <w:bookmarkStart w:id="3" w:name="_Ref132086909"/>
      <w:r w:rsidRPr="00BA56AD">
        <w:rPr>
          <w:lang w:bidi="ar-EG"/>
        </w:rPr>
        <w:t xml:space="preserve">There was an insignificant difference between both groups </w:t>
      </w:r>
      <w:r w:rsidRPr="000E12C8">
        <w:rPr>
          <w:lang w:bidi="ar-EG"/>
        </w:rPr>
        <w:t xml:space="preserve">regarding the age, residence and the family history of breast cancer and oral contraceptive pills. </w:t>
      </w:r>
      <w:r w:rsidR="00FC039A" w:rsidRPr="000E12C8">
        <w:rPr>
          <w:lang w:bidi="ar-EG"/>
        </w:rPr>
        <w:t xml:space="preserve"> </w:t>
      </w:r>
      <w:r w:rsidRPr="000E12C8">
        <w:rPr>
          <w:lang w:bidi="ar-EG"/>
        </w:rPr>
        <w:t>There was an insignificant difference between both groups regarding the platelet count and PNR</w:t>
      </w:r>
      <w:r w:rsidRPr="00BA56AD">
        <w:rPr>
          <w:lang w:bidi="ar-EG"/>
        </w:rPr>
        <w:t>.</w:t>
      </w:r>
      <w:r w:rsidRPr="00BA56AD">
        <w:t xml:space="preserve"> </w:t>
      </w:r>
      <w:r w:rsidRPr="00BA56AD">
        <w:rPr>
          <w:lang w:bidi="ar-EG"/>
        </w:rPr>
        <w:t>The pathological findings were insignificantly different between both groups.</w:t>
      </w:r>
      <w:r w:rsidR="00585421" w:rsidRPr="00585421">
        <w:t xml:space="preserve"> </w:t>
      </w:r>
      <w:r w:rsidR="00585421" w:rsidRPr="00585421">
        <w:rPr>
          <w:lang w:bidi="ar-EG"/>
        </w:rPr>
        <w:t>There was a significant difference between both groups regarding the molecular subtypes (P&lt;0.001). Luminal A,B were significantly lower in patients with high PLR, while Her2 enriched and basal tumor were significantly higher in patients with high PLR, compared to those with low PLR.</w:t>
      </w:r>
      <w:r w:rsidRPr="00585421">
        <w:rPr>
          <w:lang w:bidi="ar-EG"/>
        </w:rPr>
        <w:t xml:space="preserve"> </w:t>
      </w:r>
      <w:r w:rsidR="00FC039A" w:rsidRPr="00585421">
        <w:rPr>
          <w:lang w:bidi="ar-EG"/>
        </w:rPr>
        <w:t xml:space="preserve"> </w:t>
      </w:r>
      <w:r w:rsidR="00FC039A" w:rsidRPr="00585421">
        <w:rPr>
          <w:b/>
          <w:bCs/>
          <w:lang w:bidi="ar-EG"/>
        </w:rPr>
        <w:t>Table 1</w:t>
      </w:r>
    </w:p>
    <w:p w14:paraId="7FCD6FF0" w14:textId="2B748315" w:rsidR="00FC039A" w:rsidRPr="00DE37CF" w:rsidRDefault="00585421" w:rsidP="00FC039A">
      <w:pPr>
        <w:pStyle w:val="P"/>
      </w:pPr>
      <w:r w:rsidRPr="00585421">
        <w:rPr>
          <w:lang w:bidi="ar-EG"/>
        </w:rPr>
        <w:t xml:space="preserve">Regarding the </w:t>
      </w:r>
      <w:r w:rsidR="00310A98" w:rsidRPr="00310A98">
        <w:rPr>
          <w:lang w:bidi="ar-EG"/>
        </w:rPr>
        <w:t xml:space="preserve">tumor-node-metastasis </w:t>
      </w:r>
      <w:r w:rsidR="00310A98">
        <w:rPr>
          <w:lang w:bidi="ar-EG"/>
        </w:rPr>
        <w:t>(</w:t>
      </w:r>
      <w:r w:rsidRPr="00585421">
        <w:rPr>
          <w:lang w:bidi="ar-EG"/>
        </w:rPr>
        <w:t>TNM</w:t>
      </w:r>
      <w:r w:rsidR="00310A98">
        <w:rPr>
          <w:lang w:bidi="ar-EG"/>
        </w:rPr>
        <w:t>)</w:t>
      </w:r>
      <w:r w:rsidRPr="00585421">
        <w:rPr>
          <w:lang w:bidi="ar-EG"/>
        </w:rPr>
        <w:t xml:space="preserve"> classification before treatment, T staging was significantly different between both groups (P=0.002), while there was an insignificant difference between both groups regarding N and M staging.</w:t>
      </w:r>
      <w:r w:rsidRPr="00585421">
        <w:t xml:space="preserve"> </w:t>
      </w:r>
      <w:r w:rsidRPr="00585421">
        <w:rPr>
          <w:lang w:bidi="ar-EG"/>
        </w:rPr>
        <w:t>There was a significant difference between both groups regarding the tumor stages (P&lt;0.001).</w:t>
      </w:r>
      <w:r w:rsidRPr="00585421">
        <w:t xml:space="preserve"> </w:t>
      </w:r>
      <w:r w:rsidRPr="00585421">
        <w:rPr>
          <w:lang w:bidi="ar-EG"/>
        </w:rPr>
        <w:t xml:space="preserve">The expression of ER and PR were significantly lower in patients with higher PLR compared to those with low PLR (P=0.005, &lt;0.001), while the expression of HER2 was significantly higher in patients with higher PLR compared to those with low PLR (P=0.012). The KI67 expression </w:t>
      </w:r>
      <w:r w:rsidRPr="00585421">
        <w:rPr>
          <w:lang w:bidi="ar-EG"/>
        </w:rPr>
        <w:lastRenderedPageBreak/>
        <w:t xml:space="preserve">was significantly higher in </w:t>
      </w:r>
      <w:r w:rsidRPr="00DE37CF">
        <w:rPr>
          <w:lang w:bidi="ar-EG"/>
        </w:rPr>
        <w:t xml:space="preserve">patients with higher PLR compared to those with low PLR (P &lt;0.001). </w:t>
      </w:r>
      <w:r w:rsidR="00FC039A" w:rsidRPr="00DE37CF">
        <w:rPr>
          <w:lang w:val="en-GB" w:bidi="ar-EG"/>
        </w:rPr>
        <w:t xml:space="preserve"> </w:t>
      </w:r>
      <w:r w:rsidR="00FC039A" w:rsidRPr="00DE37CF">
        <w:rPr>
          <w:b/>
          <w:bCs/>
          <w:lang w:val="en-GB" w:eastAsia="en-GB" w:bidi="ar-EG"/>
        </w:rPr>
        <w:t>Table 2</w:t>
      </w:r>
    </w:p>
    <w:p w14:paraId="074C4CDE" w14:textId="6E8A69F3" w:rsidR="00FC039A" w:rsidRPr="00DE37CF" w:rsidRDefault="00585421" w:rsidP="00FC039A">
      <w:pPr>
        <w:pStyle w:val="P"/>
      </w:pPr>
      <w:r w:rsidRPr="00DE37CF">
        <w:rPr>
          <w:lang w:val="en-GB" w:bidi="ar-EG"/>
        </w:rPr>
        <w:t xml:space="preserve">The TNM classification including T, N and M staging were significantly different between both groups (P&lt;0.001, &lt;0.001, &lt;0.001). </w:t>
      </w:r>
      <w:r w:rsidR="00FC039A" w:rsidRPr="00DE37CF">
        <w:rPr>
          <w:b/>
          <w:bCs/>
          <w:lang w:val="en-GB" w:bidi="ar-EG"/>
        </w:rPr>
        <w:t>Table 3</w:t>
      </w:r>
    </w:p>
    <w:p w14:paraId="152D8BBC" w14:textId="0F65CA68" w:rsidR="00FC039A" w:rsidRPr="00DE37CF" w:rsidRDefault="00585421" w:rsidP="00FC039A">
      <w:pPr>
        <w:pStyle w:val="P"/>
      </w:pPr>
      <w:r w:rsidRPr="00DE37CF">
        <w:rPr>
          <w:lang w:bidi="ar-EG"/>
        </w:rPr>
        <w:t xml:space="preserve">Before and after treatment, the tumor mass was significantly higher in patients with higher PLR compared to those with low PLR (P=0.002, &lt;0.001). </w:t>
      </w:r>
      <w:r w:rsidR="00DE37CF" w:rsidRPr="00DE37CF">
        <w:rPr>
          <w:lang w:bidi="ar-EG"/>
        </w:rPr>
        <w:t xml:space="preserve">There was a </w:t>
      </w:r>
      <w:r w:rsidR="00DE37CF" w:rsidRPr="00DE37CF">
        <w:rPr>
          <w:lang w:bidi="ar-EG"/>
        </w:rPr>
        <w:t>significant</w:t>
      </w:r>
      <w:r w:rsidR="00DE37CF" w:rsidRPr="00DE37CF">
        <w:rPr>
          <w:lang w:bidi="ar-EG"/>
        </w:rPr>
        <w:t xml:space="preserve"> difference between both groups regarding the metastasis (P&lt;0.001), as patients with high PLR &gt;150 showed higher </w:t>
      </w:r>
      <w:r w:rsidR="008F3B3E" w:rsidRPr="00DE37CF">
        <w:rPr>
          <w:lang w:bidi="ar-EG"/>
        </w:rPr>
        <w:t>metastasis</w:t>
      </w:r>
      <w:r w:rsidR="00DE37CF" w:rsidRPr="00DE37CF">
        <w:rPr>
          <w:lang w:bidi="ar-EG"/>
        </w:rPr>
        <w:t xml:space="preserve"> compared to those with low PLR. </w:t>
      </w:r>
      <w:r w:rsidR="00FC039A" w:rsidRPr="00DE37CF">
        <w:rPr>
          <w:lang w:bidi="ar-EG"/>
        </w:rPr>
        <w:t xml:space="preserve"> </w:t>
      </w:r>
      <w:r w:rsidR="00FC039A" w:rsidRPr="00DE37CF">
        <w:rPr>
          <w:b/>
          <w:bCs/>
          <w:lang w:bidi="ar-EG"/>
        </w:rPr>
        <w:t>Table 4</w:t>
      </w:r>
    </w:p>
    <w:bookmarkEnd w:id="2"/>
    <w:bookmarkEnd w:id="3"/>
    <w:p w14:paraId="6E3D4539" w14:textId="2E239A1E" w:rsidR="00E93B95" w:rsidRPr="00DE37CF" w:rsidRDefault="00E93B95" w:rsidP="00ED1E3C">
      <w:pPr>
        <w:spacing w:before="240" w:after="0" w:line="240" w:lineRule="auto"/>
        <w:rPr>
          <w:rFonts w:asciiTheme="majorBidi" w:hAnsiTheme="majorBidi" w:cstheme="majorBidi"/>
          <w:b/>
          <w:bCs/>
          <w:sz w:val="24"/>
          <w:szCs w:val="24"/>
          <w:u w:val="single"/>
        </w:rPr>
      </w:pPr>
      <w:r w:rsidRPr="00DE37CF">
        <w:rPr>
          <w:rFonts w:asciiTheme="majorBidi" w:hAnsiTheme="majorBidi" w:cstheme="majorBidi"/>
          <w:b/>
          <w:bCs/>
          <w:sz w:val="24"/>
          <w:szCs w:val="24"/>
          <w:u w:val="single"/>
        </w:rPr>
        <w:t>Discussion</w:t>
      </w:r>
    </w:p>
    <w:p w14:paraId="6C5128C3" w14:textId="7E576EF4"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Breast cancer remains the most frequently diagnosed cancer and the leading cause of cancer-related deaths among women worldwide. Despite significant advances in early detection, diagnosis, and treatment, the prognosis of breast cancer varies greatly among patients due to its heterogeneous nature. Identifying reliable, cost-effective prognostic and predictive biomarkers is essential for optimizing treatment strategies and improving patient outcomes</w:t>
      </w:r>
      <w:r>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 xml:space="preserve">Inflammation plays a critical role in the initiation, progression, and metastasis of various malignancies, including breast cancer. Recent studies have increasingly focused on hematological markers derived from routine complete blood counts as potential indicators of systemic inflammation and immune response. Among these markers, the PLR has emerged as a promising prognostic indicator in different types of cancer, including breast cancer </w:t>
      </w:r>
      <w:r>
        <w:rPr>
          <w:rFonts w:ascii="Times New Roman" w:eastAsia="Calibri" w:hAnsi="Times New Roman" w:cs="Times New Roman"/>
          <w:sz w:val="24"/>
          <w:szCs w:val="24"/>
          <w14:ligatures w14:val="standardContextual"/>
        </w:rPr>
        <w:fldChar w:fldCharType="begin">
          <w:fldData xml:space="preserve">PEVuZE5vdGU+PENpdGU+PEF1dGhvcj5Hb25nPC9BdXRob3I+PFllYXI+MjAyMjwvWWVhcj48UmVj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</w:fldData>
        </w:fldChar>
      </w:r>
      <w:r w:rsidR="008F3B3E">
        <w:rPr>
          <w:rFonts w:ascii="Times New Roman" w:eastAsia="Calibri" w:hAnsi="Times New Roman" w:cs="Times New Roman"/>
          <w:sz w:val="24"/>
          <w:szCs w:val="24"/>
          <w14:ligatures w14:val="standardContextual"/>
        </w:rPr>
        <w:instrText xml:space="preserve"> ADDIN EN.CITE </w:instrText>
      </w:r>
      <w:r w:rsidR="008F3B3E">
        <w:rPr>
          <w:rFonts w:ascii="Times New Roman" w:eastAsia="Calibri" w:hAnsi="Times New Roman" w:cs="Times New Roman"/>
          <w:sz w:val="24"/>
          <w:szCs w:val="24"/>
          <w14:ligatures w14:val="standardContextual"/>
        </w:rPr>
        <w:fldChar w:fldCharType="begin">
          <w:fldData xml:space="preserve">PEVuZE5vdGU+PENpdGU+PEF1dGhvcj5Hb25nPC9BdXRob3I+PFllYXI+MjAyMjwvWWVhcj48UmVj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</w:fldData>
        </w:fldChar>
      </w:r>
      <w:r w:rsidR="008F3B3E">
        <w:rPr>
          <w:rFonts w:ascii="Times New Roman" w:eastAsia="Calibri" w:hAnsi="Times New Roman" w:cs="Times New Roman"/>
          <w:sz w:val="24"/>
          <w:szCs w:val="24"/>
          <w14:ligatures w14:val="standardContextual"/>
        </w:rPr>
        <w:instrText xml:space="preserve"> ADDIN EN.CITE.DATA </w:instrText>
      </w:r>
      <w:r w:rsidR="008F3B3E">
        <w:rPr>
          <w:rFonts w:ascii="Times New Roman" w:eastAsia="Calibri" w:hAnsi="Times New Roman" w:cs="Times New Roman"/>
          <w:sz w:val="24"/>
          <w:szCs w:val="24"/>
          <w14:ligatures w14:val="standardContextual"/>
        </w:rPr>
      </w:r>
      <w:r w:rsidR="008F3B3E">
        <w:rPr>
          <w:rFonts w:ascii="Times New Roman" w:eastAsia="Calibri" w:hAnsi="Times New Roman" w:cs="Times New Roman"/>
          <w:sz w:val="24"/>
          <w:szCs w:val="24"/>
          <w14:ligatures w14:val="standardContextual"/>
        </w:rPr>
        <w:fldChar w:fldCharType="end"/>
      </w:r>
      <w:r>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(8)</w:t>
      </w:r>
      <w:r>
        <w:rPr>
          <w:rFonts w:ascii="Times New Roman" w:eastAsia="Calibri" w:hAnsi="Times New Roman" w:cs="Times New Roman"/>
          <w:sz w:val="24"/>
          <w:szCs w:val="24"/>
          <w14:ligatures w14:val="standardContextual"/>
        </w:rPr>
        <w:fldChar w:fldCharType="end"/>
      </w:r>
      <w:r>
        <w:rPr>
          <w:rFonts w:ascii="Times New Roman" w:eastAsia="Calibri" w:hAnsi="Times New Roman" w:cs="Times New Roman"/>
          <w:sz w:val="24"/>
          <w:szCs w:val="24"/>
          <w14:ligatures w14:val="standardContextual"/>
        </w:rPr>
        <w:t>.</w:t>
      </w:r>
    </w:p>
    <w:p w14:paraId="42DC3AC7"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The present study revealed that according to demographic data in the studied patients, the age of the studied patients ranged from 32 to 71 years with a mean of 49.96± 9.13 years. There were 50 (50%) patients from urban areas and 50 (50%) patients were from rural areas. Among the studied patients, 4 (4%) patients had family history of breast cancer, and there were 43 (43%) patients were receiving OCP.</w:t>
      </w:r>
    </w:p>
    <w:p w14:paraId="15C7B345" w14:textId="16070DAC"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Our results in consistent with Dan et al.,</w:t>
      </w:r>
      <w:r w:rsidR="0055055B">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&lt;EndNote&gt;&lt;Cite&gt;&lt;Author&gt;Dan&lt;/Author&gt;&lt;Year&gt;2023&lt;/Year&gt;&lt;RecNum&gt;9&lt;/RecNum&gt;&lt;DisplayText&gt;(9)&lt;/DisplayText&gt;&lt;record&gt;&lt;rec-number&gt;9&lt;/rec-number&gt;&lt;foreign-keys&gt;&lt;key app="EN" db-id="detrs55a600rv1effwovspsb0e0erzz992ta" timestamp="1748857286"&gt;9&lt;/key&gt;&lt;/foreign-keys&gt;&lt;ref-type name="Journal Article"&gt;17&lt;/ref-type&gt;&lt;contributors&gt;&lt;authors&gt;&lt;author&gt;Dan, Jiaqiang&lt;/author&gt;&lt;author&gt;Tan, Jingya&lt;/author&gt;&lt;author&gt;Huang, Junhua&lt;/author&gt;&lt;author&gt;Yuan, Zhiying&lt;/author&gt;&lt;author&gt;Guo, Yao&lt;/author&gt;&lt;/authors&gt;&lt;/contributors&gt;&lt;titles&gt;&lt;title&gt;Early changes of platelet‑lymphocyte ratio correlate with neoadjuvant chemotherapy response and predict pathological complete response in breast cancer&lt;/title&gt;&lt;secondary-title&gt;Molecular and Clinical Oncology&lt;/secondary-title&gt;&lt;/titles&gt;&lt;periodical&gt;&lt;full-title&gt;Molecular and Clinical Oncology&lt;/full-title&gt;&lt;/periodical&gt;&lt;pages&gt;90-98&lt;/pages&gt;&lt;volume&gt;19&lt;/volume&gt;&lt;number&gt;5&lt;/number&gt;&lt;dates&gt;&lt;year&gt;2023&lt;/year&gt;&lt;/dates&gt;&lt;isbn&gt;2049-9450&lt;/isbn&gt;&lt;urls&gt;&lt;/urls&gt;&lt;/record&gt;&lt;/Cite&gt;&lt;/EndNote&gt;</w:instrText>
      </w:r>
      <w:r w:rsidR="0055055B">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(9)</w:t>
      </w:r>
      <w:r w:rsidR="0055055B">
        <w:rPr>
          <w:rFonts w:ascii="Times New Roman" w:eastAsia="Calibri" w:hAnsi="Times New Roman" w:cs="Times New Roman"/>
          <w:sz w:val="24"/>
          <w:szCs w:val="24"/>
          <w14:ligatures w14:val="standardContextual"/>
        </w:rPr>
        <w:fldChar w:fldCharType="end"/>
      </w:r>
      <w:r w:rsidRPr="00D3559B">
        <w:rPr>
          <w:rFonts w:ascii="Times New Roman" w:eastAsia="Calibri" w:hAnsi="Times New Roman" w:cs="Times New Roman"/>
          <w:sz w:val="24"/>
          <w:szCs w:val="24"/>
          <w14:ligatures w14:val="standardContextual"/>
        </w:rPr>
        <w:t xml:space="preserve"> who aimed to assess the potential of early changes of PLR observed prior to and following two cycles of NACT as predictive indicators for neoadjuvant chemotherapy response and </w:t>
      </w:r>
      <w:proofErr w:type="spellStart"/>
      <w:r w:rsidRPr="00D3559B">
        <w:rPr>
          <w:rFonts w:ascii="Times New Roman" w:eastAsia="Calibri" w:hAnsi="Times New Roman" w:cs="Times New Roman"/>
          <w:sz w:val="24"/>
          <w:szCs w:val="24"/>
          <w14:ligatures w14:val="standardContextual"/>
        </w:rPr>
        <w:t>pCR</w:t>
      </w:r>
      <w:proofErr w:type="spellEnd"/>
      <w:r w:rsidRPr="00D3559B">
        <w:rPr>
          <w:rFonts w:ascii="Times New Roman" w:eastAsia="Calibri" w:hAnsi="Times New Roman" w:cs="Times New Roman"/>
          <w:sz w:val="24"/>
          <w:szCs w:val="24"/>
          <w14:ligatures w14:val="standardContextual"/>
        </w:rPr>
        <w:t xml:space="preserve"> in breast cancer patients. This retrospective study analyzed the information of 257 individuals diagnosed with initial breast cancer. The median age of the study population was 50 years (range: 34–70), with a fairly even distribution between those younger than 50 years (47.9%) and those 50 years or older (52.1%). Regarding menopausal status, 60.7% of patients were postmenopausal, while 39.3% were premenopausal.</w:t>
      </w:r>
    </w:p>
    <w:p w14:paraId="293522C7" w14:textId="58CF88B1"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The </w:t>
      </w:r>
      <w:r w:rsidRPr="00D3559B">
        <w:rPr>
          <w:rFonts w:ascii="Times New Roman" w:eastAsia="Calibri" w:hAnsi="Times New Roman" w:cs="Times New Roman"/>
          <w:sz w:val="24"/>
          <w:szCs w:val="24"/>
          <w14:ligatures w14:val="standardContextual"/>
        </w:rPr>
        <w:t>laboratory</w:t>
      </w:r>
      <w:r w:rsidRPr="00D3559B">
        <w:rPr>
          <w:rFonts w:ascii="Times New Roman" w:eastAsia="Calibri" w:hAnsi="Times New Roman" w:cs="Times New Roman"/>
          <w:sz w:val="24"/>
          <w:szCs w:val="24"/>
          <w14:ligatures w14:val="standardContextual"/>
        </w:rPr>
        <w:t xml:space="preserve"> findings showed that the WBCs count of the studied patients ranged from 3.4 to 13.4 × 109/L with a mean of 7.15± 2.88 × 109/L. The platelet count ranged from 225 to 450 × 109/L with a mean of 288.71± 51.69 × 109/L. The neutrophil % ranged from 1.6 to 9.3 % with a mean of 4.37± 2.16 %. The lymphocyte % ranged from 0.8 to 6.1% with a mean of 2.21± 1.31%. The PLR ranged from 12 to 437 % with a mean of 168.42± 96.35%. The PNR of the studied patients ranged from 30-168% with a mean of 80.77± 39.85%. Serum creatinine level ranged from 0.4 to 1 mg/dL with a mean of 0.63± 0.16 mg/dL.</w:t>
      </w:r>
    </w:p>
    <w:p w14:paraId="7683F56C" w14:textId="0BEA321C"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lastRenderedPageBreak/>
        <w:t>Our results in consistent with Ayan et al.,</w:t>
      </w:r>
      <w:r w:rsidR="0055055B">
        <w:rPr>
          <w:rFonts w:ascii="Times New Roman" w:eastAsia="Calibri" w:hAnsi="Times New Roman" w:cs="Times New Roman"/>
          <w:sz w:val="24"/>
          <w:szCs w:val="24"/>
          <w14:ligatures w14:val="standardContextual"/>
        </w:rPr>
        <w:t xml:space="preserve"> </w:t>
      </w:r>
      <w:r w:rsidR="0055055B">
        <w:rPr>
          <w:rFonts w:ascii="Times New Roman" w:eastAsia="Calibri" w:hAnsi="Times New Roman" w:cs="Times New Roman"/>
          <w:sz w:val="24"/>
          <w:szCs w:val="24"/>
          <w14:ligatures w14:val="standardContextual"/>
        </w:rPr>
        <w:fldChar w:fldCharType="begin">
          <w:fldData xml:space="preserve">PEVuZE5vdGU+PENpdGU+PEF1dGhvcj5BeWFuPC9BdXRob3I+PFllYXI+MjAyNTwvWWVhcj48UmVj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</w:fldData>
        </w:fldChar>
      </w:r>
      <w:r w:rsidR="008F3B3E">
        <w:rPr>
          <w:rFonts w:ascii="Times New Roman" w:eastAsia="Calibri" w:hAnsi="Times New Roman" w:cs="Times New Roman"/>
          <w:sz w:val="24"/>
          <w:szCs w:val="24"/>
          <w14:ligatures w14:val="standardContextual"/>
        </w:rPr>
        <w:instrText xml:space="preserve"> ADDIN EN.CITE </w:instrText>
      </w:r>
      <w:r w:rsidR="008F3B3E">
        <w:rPr>
          <w:rFonts w:ascii="Times New Roman" w:eastAsia="Calibri" w:hAnsi="Times New Roman" w:cs="Times New Roman"/>
          <w:sz w:val="24"/>
          <w:szCs w:val="24"/>
          <w14:ligatures w14:val="standardContextual"/>
        </w:rPr>
        <w:fldChar w:fldCharType="begin">
          <w:fldData xml:space="preserve">PEVuZE5vdGU+PENpdGU+PEF1dGhvcj5BeWFuPC9BdXRob3I+PFllYXI+MjAyNTwvWWVhcj48UmVj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</w:fldData>
        </w:fldChar>
      </w:r>
      <w:r w:rsidR="008F3B3E">
        <w:rPr>
          <w:rFonts w:ascii="Times New Roman" w:eastAsia="Calibri" w:hAnsi="Times New Roman" w:cs="Times New Roman"/>
          <w:sz w:val="24"/>
          <w:szCs w:val="24"/>
          <w14:ligatures w14:val="standardContextual"/>
        </w:rPr>
        <w:instrText xml:space="preserve"> ADDIN EN.CITE.DATA </w:instrText>
      </w:r>
      <w:r w:rsidR="008F3B3E">
        <w:rPr>
          <w:rFonts w:ascii="Times New Roman" w:eastAsia="Calibri" w:hAnsi="Times New Roman" w:cs="Times New Roman"/>
          <w:sz w:val="24"/>
          <w:szCs w:val="24"/>
          <w14:ligatures w14:val="standardContextual"/>
        </w:rPr>
      </w:r>
      <w:r w:rsidR="008F3B3E">
        <w:rPr>
          <w:rFonts w:ascii="Times New Roman" w:eastAsia="Calibri" w:hAnsi="Times New Roman" w:cs="Times New Roman"/>
          <w:sz w:val="24"/>
          <w:szCs w:val="24"/>
          <w14:ligatures w14:val="standardContextual"/>
        </w:rPr>
        <w:fldChar w:fldCharType="end"/>
      </w:r>
      <w:r w:rsidR="0055055B">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(10)</w:t>
      </w:r>
      <w:r w:rsidR="0055055B">
        <w:rPr>
          <w:rFonts w:ascii="Times New Roman" w:eastAsia="Calibri" w:hAnsi="Times New Roman" w:cs="Times New Roman"/>
          <w:sz w:val="24"/>
          <w:szCs w:val="24"/>
          <w14:ligatures w14:val="standardContextual"/>
        </w:rPr>
        <w:fldChar w:fldCharType="end"/>
      </w:r>
      <w:r w:rsidRPr="00D3559B">
        <w:rPr>
          <w:rFonts w:ascii="Times New Roman" w:eastAsia="Calibri" w:hAnsi="Times New Roman" w:cs="Times New Roman"/>
          <w:sz w:val="24"/>
          <w:szCs w:val="24"/>
          <w14:ligatures w14:val="standardContextual"/>
        </w:rPr>
        <w:t xml:space="preserve"> who reported that mean leukocyte count was 6.74 ×10³/mL, mean platelet count was 247.50 ×10³/mL, median neutrophil count was 3.78 ×10³/mL, median lymphocyte count was 2.20 ×10³/mL, median NLR was 1.63, and median PLR was 111.26.</w:t>
      </w:r>
    </w:p>
    <w:p w14:paraId="121AECEC"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Concerning the pathology, 19 (19%) patients had ILC, 77 (77%) patients had IDC and 4 (4%) patients had DCI. Among the studied patients, 47 (47%) patients had luminal A tumor, 15(15%) patients had luminal B tumor, 18 (18%) patients had Her2 enriched tumor, and 20 (20%) patients had tumor.</w:t>
      </w:r>
      <w:r w:rsidRPr="00D3559B">
        <w:rPr>
          <w:rFonts w:ascii="Times New Roman" w:eastAsia="Calibri" w:hAnsi="Times New Roman" w:cs="Times New Roman"/>
          <w:sz w:val="24"/>
          <w:szCs w:val="24"/>
          <w14:ligatures w14:val="standardContextual"/>
        </w:rPr>
        <w:tab/>
      </w:r>
    </w:p>
    <w:p w14:paraId="2DFFCD10" w14:textId="7DD82306"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Our results in concordance with Dan et al., </w:t>
      </w:r>
      <w:r w:rsidR="00706850">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&lt;EndNote&gt;&lt;Cite&gt;&lt;Author&gt;Dan&lt;/Author&gt;&lt;Year&gt;2023&lt;/Year&gt;&lt;RecNum&gt;9&lt;/RecNum&gt;&lt;DisplayText&gt;(9)&lt;/DisplayText&gt;&lt;record&gt;&lt;rec-number&gt;9&lt;/rec-number&gt;&lt;foreign-keys&gt;&lt;key app="EN" db-id="detrs55a600rv1effwovspsb0e0erzz992ta" timestamp="1748857286"&gt;9&lt;/key&gt;&lt;/foreign-keys&gt;&lt;ref-type name="Journal Article"&gt;17&lt;/ref-type&gt;&lt;contributors&gt;&lt;authors&gt;&lt;author&gt;Dan, Jiaqiang&lt;/author&gt;&lt;author&gt;Tan, Jingya&lt;/author&gt;&lt;author&gt;Huang, Junhua&lt;/author&gt;&lt;author&gt;Yuan, Zhiying&lt;/author&gt;&lt;author&gt;Guo, Yao&lt;/author&gt;&lt;/authors&gt;&lt;/contributors&gt;&lt;titles&gt;&lt;title&gt;Early changes of platelet‑lymphocyte ratio correlate with neoadjuvant chemotherapy response and predict pathological complete response in breast cancer&lt;/title&gt;&lt;secondary-title&gt;Molecular and Clinical Oncology&lt;/secondary-title&gt;&lt;/titles&gt;&lt;periodical&gt;&lt;full-title&gt;Molecular and Clinical Oncology&lt;/full-title&gt;&lt;/periodical&gt;&lt;pages&gt;90-98&lt;/pages&gt;&lt;volume&gt;19&lt;/volume&gt;&lt;number&gt;5&lt;/number&gt;&lt;dates&gt;&lt;year&gt;2023&lt;/year&gt;&lt;/dates&gt;&lt;isbn&gt;2049-9450&lt;/isbn&gt;&lt;urls&gt;&lt;/urls&gt;&lt;/record&gt;&lt;/Cite&gt;&lt;/EndNote&gt;</w:instrText>
      </w:r>
      <w:r w:rsidR="00706850">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(9)</w:t>
      </w:r>
      <w:r w:rsidR="00706850">
        <w:rPr>
          <w:rFonts w:ascii="Times New Roman" w:eastAsia="Calibri" w:hAnsi="Times New Roman" w:cs="Times New Roman"/>
          <w:sz w:val="24"/>
          <w:szCs w:val="24"/>
          <w14:ligatures w14:val="standardContextual"/>
        </w:rPr>
        <w:fldChar w:fldCharType="end"/>
      </w:r>
      <w:r w:rsidR="00706850">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revealed that the most frequent molecular subtype was Luminal A, accounting for 44.1% of cases. This subtype is typically associated with a favorable prognosis and good response to hormonal therapy due to its hormone receptor positivity and low proliferation index. HER2-enriched subtypes comprising 23.3% of the population. Luminal B subtype was the least common, making up 9.3% of cases.</w:t>
      </w:r>
    </w:p>
    <w:p w14:paraId="1AEAB67E" w14:textId="5EF4685B"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In contrast, Ma et al., </w:t>
      </w:r>
      <w:r w:rsidR="00706850">
        <w:rPr>
          <w:rFonts w:ascii="Times New Roman" w:eastAsia="Calibri" w:hAnsi="Times New Roman" w:cs="Times New Roman"/>
          <w:sz w:val="24"/>
          <w:szCs w:val="24"/>
          <w14:ligatures w14:val="standardContextual"/>
        </w:rPr>
        <w:fldChar w:fldCharType="begin">
          <w:fldData xml:space="preserve">PEVuZE5vdGU+PENpdGU+PEF1dGhvcj5NYTwvQXV0aG9yPjxZZWFyPjIwMjM8L1llYXI+PFJlY051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</w:fldData>
        </w:fldChar>
      </w:r>
      <w:r w:rsidR="008F3B3E">
        <w:rPr>
          <w:rFonts w:ascii="Times New Roman" w:eastAsia="Calibri" w:hAnsi="Times New Roman" w:cs="Times New Roman"/>
          <w:sz w:val="24"/>
          <w:szCs w:val="24"/>
          <w14:ligatures w14:val="standardContextual"/>
        </w:rPr>
        <w:instrText xml:space="preserve"> ADDIN EN.CITE </w:instrText>
      </w:r>
      <w:r w:rsidR="008F3B3E">
        <w:rPr>
          <w:rFonts w:ascii="Times New Roman" w:eastAsia="Calibri" w:hAnsi="Times New Roman" w:cs="Times New Roman"/>
          <w:sz w:val="24"/>
          <w:szCs w:val="24"/>
          <w14:ligatures w14:val="standardContextual"/>
        </w:rPr>
        <w:fldChar w:fldCharType="begin">
          <w:fldData xml:space="preserve">PEVuZE5vdGU+PENpdGU+PEF1dGhvcj5NYTwvQXV0aG9yPjxZZWFyPjIwMjM8L1llYXI+PFJlY051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</w:fldData>
        </w:fldChar>
      </w:r>
      <w:r w:rsidR="008F3B3E">
        <w:rPr>
          <w:rFonts w:ascii="Times New Roman" w:eastAsia="Calibri" w:hAnsi="Times New Roman" w:cs="Times New Roman"/>
          <w:sz w:val="24"/>
          <w:szCs w:val="24"/>
          <w14:ligatures w14:val="standardContextual"/>
        </w:rPr>
        <w:instrText xml:space="preserve"> ADDIN EN.CITE.DATA </w:instrText>
      </w:r>
      <w:r w:rsidR="008F3B3E">
        <w:rPr>
          <w:rFonts w:ascii="Times New Roman" w:eastAsia="Calibri" w:hAnsi="Times New Roman" w:cs="Times New Roman"/>
          <w:sz w:val="24"/>
          <w:szCs w:val="24"/>
          <w14:ligatures w14:val="standardContextual"/>
        </w:rPr>
      </w:r>
      <w:r w:rsidR="008F3B3E">
        <w:rPr>
          <w:rFonts w:ascii="Times New Roman" w:eastAsia="Calibri" w:hAnsi="Times New Roman" w:cs="Times New Roman"/>
          <w:sz w:val="24"/>
          <w:szCs w:val="24"/>
          <w14:ligatures w14:val="standardContextual"/>
        </w:rPr>
        <w:fldChar w:fldCharType="end"/>
      </w:r>
      <w:r w:rsidR="00706850">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(11)</w:t>
      </w:r>
      <w:r w:rsidR="00706850">
        <w:rPr>
          <w:rFonts w:ascii="Times New Roman" w:eastAsia="Calibri" w:hAnsi="Times New Roman" w:cs="Times New Roman"/>
          <w:sz w:val="24"/>
          <w:szCs w:val="24"/>
          <w14:ligatures w14:val="standardContextual"/>
        </w:rPr>
        <w:fldChar w:fldCharType="end"/>
      </w:r>
      <w:r w:rsidR="00706850">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who investigated the role of PLR in complete pathological response (</w:t>
      </w:r>
      <w:proofErr w:type="spellStart"/>
      <w:r w:rsidRPr="00D3559B">
        <w:rPr>
          <w:rFonts w:ascii="Times New Roman" w:eastAsia="Calibri" w:hAnsi="Times New Roman" w:cs="Times New Roman"/>
          <w:sz w:val="24"/>
          <w:szCs w:val="24"/>
          <w14:ligatures w14:val="standardContextual"/>
        </w:rPr>
        <w:t>pCR</w:t>
      </w:r>
      <w:proofErr w:type="spellEnd"/>
      <w:r w:rsidRPr="00D3559B">
        <w:rPr>
          <w:rFonts w:ascii="Times New Roman" w:eastAsia="Calibri" w:hAnsi="Times New Roman" w:cs="Times New Roman"/>
          <w:sz w:val="24"/>
          <w:szCs w:val="24"/>
          <w14:ligatures w14:val="standardContextual"/>
        </w:rPr>
        <w:t xml:space="preserve">) of BC patients after neoadjuvant chemotherapy (NAC). A total of 112 BC patients were included in this study. In the </w:t>
      </w:r>
      <w:proofErr w:type="spellStart"/>
      <w:r w:rsidRPr="00D3559B">
        <w:rPr>
          <w:rFonts w:ascii="Times New Roman" w:eastAsia="Calibri" w:hAnsi="Times New Roman" w:cs="Times New Roman"/>
          <w:sz w:val="24"/>
          <w:szCs w:val="24"/>
          <w14:ligatures w14:val="standardContextual"/>
        </w:rPr>
        <w:t>pCR</w:t>
      </w:r>
      <w:proofErr w:type="spellEnd"/>
      <w:r w:rsidRPr="00D3559B">
        <w:rPr>
          <w:rFonts w:ascii="Times New Roman" w:eastAsia="Calibri" w:hAnsi="Times New Roman" w:cs="Times New Roman"/>
          <w:sz w:val="24"/>
          <w:szCs w:val="24"/>
          <w14:ligatures w14:val="standardContextual"/>
        </w:rPr>
        <w:t xml:space="preserve"> group, HER-2 enriched (42.1%, 24 out of 57) and Luminal B (HER-2 positive) (43.9%, 25 out of 57) subtypes were the most common molecular classifications, collectively comprising over 85% of </w:t>
      </w:r>
      <w:proofErr w:type="spellStart"/>
      <w:r w:rsidRPr="00D3559B">
        <w:rPr>
          <w:rFonts w:ascii="Times New Roman" w:eastAsia="Calibri" w:hAnsi="Times New Roman" w:cs="Times New Roman"/>
          <w:sz w:val="24"/>
          <w:szCs w:val="24"/>
          <w14:ligatures w14:val="standardContextual"/>
        </w:rPr>
        <w:t>pCR</w:t>
      </w:r>
      <w:proofErr w:type="spellEnd"/>
      <w:r w:rsidRPr="00D3559B">
        <w:rPr>
          <w:rFonts w:ascii="Times New Roman" w:eastAsia="Calibri" w:hAnsi="Times New Roman" w:cs="Times New Roman"/>
          <w:sz w:val="24"/>
          <w:szCs w:val="24"/>
          <w14:ligatures w14:val="standardContextual"/>
        </w:rPr>
        <w:t xml:space="preserve"> cases. </w:t>
      </w:r>
    </w:p>
    <w:p w14:paraId="3967CD40"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Regarding the tumor classification before treatment, 8 (8%) patients were classified as T1, 68 (68%) patients were classified as T2, 20 (20%) patients were classified as T3 and 4 (4%) patients were classified as T4. Additionally, 19 (19%) patients were classified as N0, 53 (53%) patients were classified as N1, and 28 (28%) patients were classified as N2. All patients were classified as M0. Concerning the tumor staging, 4 (4%) patients were stage I, 15 (15%) patients were stage IIA, 32 (32%) patients were stage IIIA, 45 (45%) patients were stage IIB and 4 (4%) patients represented stage IIIB. The immunohistochemical analysis showed that 73 (73%) patients had positive ER, 76 (76%) patients had positive PR and 18 (18%) patients had positive HER2.</w:t>
      </w:r>
    </w:p>
    <w:p w14:paraId="5E39E30B" w14:textId="7242440E"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Our results in concordance Wang et al., </w:t>
      </w:r>
      <w:r w:rsidR="0055055B">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&lt;EndNote&gt;&lt;Cite&gt;&lt;Author&gt;Wang&lt;/Author&gt;&lt;Year&gt;2023&lt;/Year&gt;&lt;RecNum&gt;12&lt;/RecNum&gt;&lt;DisplayText&gt;(12)&lt;/DisplayText&gt;&lt;record&gt;&lt;rec-number&gt;12&lt;/rec-number&gt;&lt;foreign-keys&gt;&lt;key app="EN" db-id="detrs55a600rv1effwovspsb0e0erzz992ta" timestamp="1748857286"&gt;12&lt;/key&gt;&lt;/foreign-keys&gt;&lt;ref-type name="Journal Article"&gt;17&lt;/ref-type&gt;&lt;contributors&gt;&lt;authors&gt;&lt;author&gt;Wang, H.&lt;/author&gt;&lt;author&gt;Yu, J.&lt;/author&gt;&lt;author&gt;Shen, W.&lt;/author&gt;&lt;author&gt;Zhao, H.&lt;/author&gt;&lt;author&gt;Cui, J.&lt;/author&gt;&lt;author&gt;Gao, B.&lt;/author&gt;&lt;/authors&gt;&lt;/contributors&gt;&lt;titles&gt;&lt;title&gt;The ratio of lymphocyte/red blood cells and platelets/lymphocytes are predictive biomarkers for lymph node metastasis in patients with breast cancer&lt;/title&gt;&lt;secondary-title&gt;Cancer Biomark&lt;/secondary-title&gt;&lt;/titles&gt;&lt;periodical&gt;&lt;full-title&gt;Cancer Biomark&lt;/full-title&gt;&lt;/periodical&gt;&lt;pages&gt;595-599&lt;/pages&gt;&lt;volume&gt;38&lt;/volume&gt;&lt;number&gt;4&lt;/number&gt;&lt;keywords&gt;&lt;keyword&gt;Pregnancy&lt;/keyword&gt;&lt;keyword&gt;Humans&lt;/keyword&gt;&lt;keyword&gt;Female&lt;/keyword&gt;&lt;keyword&gt;Lymphatic Metastasis/pathology&lt;/keyword&gt;&lt;keyword&gt;*Breast Neoplasms/pathology&lt;/keyword&gt;&lt;keyword&gt;Neutrophils/pathology&lt;/keyword&gt;&lt;keyword&gt;Lymphocytes/pathology&lt;/keyword&gt;&lt;keyword&gt;Blood Platelets/pathology&lt;/keyword&gt;&lt;keyword&gt;Biomarkers&lt;/keyword&gt;&lt;keyword&gt;Prognosis&lt;/keyword&gt;&lt;keyword&gt;Erythrocytes/pathology&lt;/keyword&gt;&lt;keyword&gt;Retrospective Studies&lt;/keyword&gt;&lt;keyword&gt;Breast cancer&lt;/keyword&gt;&lt;keyword&gt;biomarker&lt;/keyword&gt;&lt;keyword&gt;lymphocytes&lt;/keyword&gt;&lt;keyword&gt;platelet&lt;/keyword&gt;&lt;keyword&gt;red blood cell&lt;/keyword&gt;&lt;/keywords&gt;&lt;dates&gt;&lt;year&gt;2023&lt;/year&gt;&lt;/dates&gt;&lt;isbn&gt;1574-0153&lt;/isbn&gt;&lt;accession-num&gt;38143337&lt;/accession-num&gt;&lt;urls&gt;&lt;/urls&gt;&lt;electronic-resource-num&gt;10.3233/cbm-220260&lt;/electronic-resource-num&gt;&lt;remote-database-provider&gt;NLM&lt;/remote-database-provider&gt;&lt;language&gt;eng&lt;/language&gt;&lt;/record&gt;&lt;/Cite&gt;&lt;/EndNote&gt;</w:instrText>
      </w:r>
      <w:r w:rsidR="0055055B">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(12)</w:t>
      </w:r>
      <w:r w:rsidR="0055055B">
        <w:rPr>
          <w:rFonts w:ascii="Times New Roman" w:eastAsia="Calibri" w:hAnsi="Times New Roman" w:cs="Times New Roman"/>
          <w:sz w:val="24"/>
          <w:szCs w:val="24"/>
          <w14:ligatures w14:val="standardContextual"/>
        </w:rPr>
        <w:fldChar w:fldCharType="end"/>
      </w:r>
      <w:r w:rsidR="0055055B">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demonstrated that in this cohort of breast cancer patients, the majority presented with early-stage disease, with T1 tumors accounting for 57.8% and Stage II disease comprising 56.6%, reflecting a relatively favorable tumor burden at diagnosis. Regarding hormone receptor status, estrogen receptor (ER) positivity was high (72.3%), while PR positivity was seen in 62.0%, consistent with a predominance of hormone-responsive tumors. HER2 positivity was noted in 40.4%, indicating a substantial subset that may benefit from targeted anti-HER2 therapies. Additionally, N0 nodal status was observed in 62.7%, and only 15.1% showed suspicious lymph nodes on ultrasonography, further supporting early-stage detection in many patients.</w:t>
      </w:r>
    </w:p>
    <w:p w14:paraId="2F6E7236" w14:textId="6D96CB69"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In contrast to a study by </w:t>
      </w:r>
      <w:proofErr w:type="spellStart"/>
      <w:r w:rsidRPr="00D3559B">
        <w:rPr>
          <w:rFonts w:ascii="Times New Roman" w:eastAsia="Calibri" w:hAnsi="Times New Roman" w:cs="Times New Roman"/>
          <w:sz w:val="24"/>
          <w:szCs w:val="24"/>
          <w14:ligatures w14:val="standardContextual"/>
        </w:rPr>
        <w:t>Krenn-Pilko</w:t>
      </w:r>
      <w:proofErr w:type="spellEnd"/>
      <w:r w:rsidRPr="00D3559B">
        <w:rPr>
          <w:rFonts w:ascii="Times New Roman" w:eastAsia="Calibri" w:hAnsi="Times New Roman" w:cs="Times New Roman"/>
          <w:sz w:val="24"/>
          <w:szCs w:val="24"/>
          <w14:ligatures w14:val="standardContextual"/>
        </w:rPr>
        <w:t xml:space="preserve"> et al., </w:t>
      </w:r>
      <w:r w:rsidR="00706850">
        <w:rPr>
          <w:rFonts w:ascii="Times New Roman" w:eastAsia="Calibri" w:hAnsi="Times New Roman" w:cs="Times New Roman"/>
          <w:sz w:val="24"/>
          <w:szCs w:val="24"/>
          <w14:ligatures w14:val="standardContextual"/>
        </w:rPr>
        <w:fldChar w:fldCharType="begin">
          <w:fldData xml:space="preserve">PEVuZE5vdGU+PENpdGU+PEF1dGhvcj5LcmVubi1QaWxrbzwvQXV0aG9yPjxZZWFyPjIwMTQ8L1ll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</w:fldData>
        </w:fldChar>
      </w:r>
      <w:r w:rsidR="008F3B3E">
        <w:rPr>
          <w:rFonts w:ascii="Times New Roman" w:eastAsia="Calibri" w:hAnsi="Times New Roman" w:cs="Times New Roman"/>
          <w:sz w:val="24"/>
          <w:szCs w:val="24"/>
          <w14:ligatures w14:val="standardContextual"/>
        </w:rPr>
        <w:instrText xml:space="preserve"> ADDIN EN.CITE </w:instrText>
      </w:r>
      <w:r w:rsidR="008F3B3E">
        <w:rPr>
          <w:rFonts w:ascii="Times New Roman" w:eastAsia="Calibri" w:hAnsi="Times New Roman" w:cs="Times New Roman"/>
          <w:sz w:val="24"/>
          <w:szCs w:val="24"/>
          <w14:ligatures w14:val="standardContextual"/>
        </w:rPr>
        <w:fldChar w:fldCharType="begin">
          <w:fldData xml:space="preserve">PEVuZE5vdGU+PENpdGU+PEF1dGhvcj5LcmVubi1QaWxrbzwvQXV0aG9yPjxZZWFyPjIwMTQ8L1ll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</w:fldData>
        </w:fldChar>
      </w:r>
      <w:r w:rsidR="008F3B3E">
        <w:rPr>
          <w:rFonts w:ascii="Times New Roman" w:eastAsia="Calibri" w:hAnsi="Times New Roman" w:cs="Times New Roman"/>
          <w:sz w:val="24"/>
          <w:szCs w:val="24"/>
          <w14:ligatures w14:val="standardContextual"/>
        </w:rPr>
        <w:instrText xml:space="preserve"> ADDIN EN.CITE.DATA </w:instrText>
      </w:r>
      <w:r w:rsidR="008F3B3E">
        <w:rPr>
          <w:rFonts w:ascii="Times New Roman" w:eastAsia="Calibri" w:hAnsi="Times New Roman" w:cs="Times New Roman"/>
          <w:sz w:val="24"/>
          <w:szCs w:val="24"/>
          <w14:ligatures w14:val="standardContextual"/>
        </w:rPr>
      </w:r>
      <w:r w:rsidR="008F3B3E">
        <w:rPr>
          <w:rFonts w:ascii="Times New Roman" w:eastAsia="Calibri" w:hAnsi="Times New Roman" w:cs="Times New Roman"/>
          <w:sz w:val="24"/>
          <w:szCs w:val="24"/>
          <w14:ligatures w14:val="standardContextual"/>
        </w:rPr>
        <w:fldChar w:fldCharType="end"/>
      </w:r>
      <w:r w:rsidR="00706850">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(13)</w:t>
      </w:r>
      <w:r w:rsidR="00706850">
        <w:rPr>
          <w:rFonts w:ascii="Times New Roman" w:eastAsia="Calibri" w:hAnsi="Times New Roman" w:cs="Times New Roman"/>
          <w:sz w:val="24"/>
          <w:szCs w:val="24"/>
          <w14:ligatures w14:val="standardContextual"/>
        </w:rPr>
        <w:fldChar w:fldCharType="end"/>
      </w:r>
      <w:r w:rsidR="00706850">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 xml:space="preserve">found that the majority of patients presented with early-stage tumors, with T1 tumors comprising 56.7% of cases. However, a significant proportion (22.4%) had T2 tumors, and 12.9% had T3 tumors, while advanced local disease (T4) was present in 4.8%, reflecting a subset of patients still diagnosed at later </w:t>
      </w:r>
      <w:r w:rsidRPr="00D3559B">
        <w:rPr>
          <w:rFonts w:ascii="Times New Roman" w:eastAsia="Calibri" w:hAnsi="Times New Roman" w:cs="Times New Roman"/>
          <w:sz w:val="24"/>
          <w:szCs w:val="24"/>
          <w14:ligatures w14:val="standardContextual"/>
        </w:rPr>
        <w:lastRenderedPageBreak/>
        <w:t xml:space="preserve">stages. Regarding lymph node involvement, 57.3% were node-negative (N0), which correlates well with the high proportion of T1 tumors. However, N1 and N2 nodal disease made up a notable 36.1%, indicating regional spread in over one-third of patients, and N3 disease in 5.7% suggests a more advanced nodal burden in a small subgroup. </w:t>
      </w:r>
    </w:p>
    <w:p w14:paraId="3B205311"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In our study we found that the KI67 expression of the studied patients ranged from 0 to 70 % with a mean of 26.52 ± 21.53% and a median (IQR) of 15 (12-5)%.</w:t>
      </w:r>
    </w:p>
    <w:p w14:paraId="621F77A9" w14:textId="5C41F99F"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Our results in consistent with Wang et al., </w:t>
      </w:r>
      <w:r w:rsidR="0055055B">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&lt;EndNote&gt;&lt;Cite&gt;&lt;Author&gt;Wang&lt;/Author&gt;&lt;Year&gt;2023&lt;/Year&gt;&lt;RecNum&gt;12&lt;/RecNum&gt;&lt;DisplayText&gt;(12)&lt;/DisplayText&gt;&lt;record&gt;&lt;rec-number&gt;12&lt;/rec-number&gt;&lt;foreign-keys&gt;&lt;key app="EN" db-id="detrs55a600rv1effwovspsb0e0erzz992ta" timestamp="1748857286"&gt;12&lt;/key&gt;&lt;/foreign-keys&gt;&lt;ref-type name="Journal Article"&gt;17&lt;/ref-type&gt;&lt;contributors&gt;&lt;authors&gt;&lt;author&gt;Wang, H.&lt;/author&gt;&lt;author&gt;Yu, J.&lt;/author&gt;&lt;author&gt;Shen, W.&lt;/author&gt;&lt;author&gt;Zhao, H.&lt;/author&gt;&lt;author&gt;Cui, J.&lt;/author&gt;&lt;author&gt;Gao, B.&lt;/author&gt;&lt;/authors&gt;&lt;/contributors&gt;&lt;titles&gt;&lt;title&gt;The ratio of lymphocyte/red blood cells and platelets/lymphocytes are predictive biomarkers for lymph node metastasis in patients with breast cancer&lt;/title&gt;&lt;secondary-title&gt;Cancer Biomark&lt;/secondary-title&gt;&lt;/titles&gt;&lt;periodical&gt;&lt;full-title&gt;Cancer Biomark&lt;/full-title&gt;&lt;/periodical&gt;&lt;pages&gt;595-599&lt;/pages&gt;&lt;volume&gt;38&lt;/volume&gt;&lt;number&gt;4&lt;/number&gt;&lt;keywords&gt;&lt;keyword&gt;Pregnancy&lt;/keyword&gt;&lt;keyword&gt;Humans&lt;/keyword&gt;&lt;keyword&gt;Female&lt;/keyword&gt;&lt;keyword&gt;Lymphatic Metastasis/pathology&lt;/keyword&gt;&lt;keyword&gt;*Breast Neoplasms/pathology&lt;/keyword&gt;&lt;keyword&gt;Neutrophils/pathology&lt;/keyword&gt;&lt;keyword&gt;Lymphocytes/pathology&lt;/keyword&gt;&lt;keyword&gt;Blood Platelets/pathology&lt;/keyword&gt;&lt;keyword&gt;Biomarkers&lt;/keyword&gt;&lt;keyword&gt;Prognosis&lt;/keyword&gt;&lt;keyword&gt;Erythrocytes/pathology&lt;/keyword&gt;&lt;keyword&gt;Retrospective Studies&lt;/keyword&gt;&lt;keyword&gt;Breast cancer&lt;/keyword&gt;&lt;keyword&gt;biomarker&lt;/keyword&gt;&lt;keyword&gt;lymphocytes&lt;/keyword&gt;&lt;keyword&gt;platelet&lt;/keyword&gt;&lt;keyword&gt;red blood cell&lt;/keyword&gt;&lt;/keywords&gt;&lt;dates&gt;&lt;year&gt;2023&lt;/year&gt;&lt;/dates&gt;&lt;isbn&gt;1574-0153&lt;/isbn&gt;&lt;accession-num&gt;38143337&lt;/accession-num&gt;&lt;urls&gt;&lt;/urls&gt;&lt;electronic-resource-num&gt;10.3233/cbm-220260&lt;/electronic-resource-num&gt;&lt;remote-database-provider&gt;NLM&lt;/remote-database-provider&gt;&lt;language&gt;eng&lt;/language&gt;&lt;/record&gt;&lt;/Cite&gt;&lt;/EndNote&gt;</w:instrText>
      </w:r>
      <w:r w:rsidR="0055055B">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(12)</w:t>
      </w:r>
      <w:r w:rsidR="0055055B">
        <w:rPr>
          <w:rFonts w:ascii="Times New Roman" w:eastAsia="Calibri" w:hAnsi="Times New Roman" w:cs="Times New Roman"/>
          <w:sz w:val="24"/>
          <w:szCs w:val="24"/>
          <w14:ligatures w14:val="standardContextual"/>
        </w:rPr>
        <w:fldChar w:fldCharType="end"/>
      </w:r>
      <w:r w:rsidR="0055055B">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demonstrated that a higher proliferation index (Ki-67 &gt;20%) was found in 56.6% of cases, suggesting that a significant proportion of tumors exhibited more aggressive biological behavior.</w:t>
      </w:r>
    </w:p>
    <w:p w14:paraId="6C3E68FB"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In the current study we reported that based on PLR; 57 (57%) patients had high PLR &gt;150, whereas 43 (43%) patients had low PLR &lt;150, while OCP consumption was </w:t>
      </w:r>
      <w:proofErr w:type="spellStart"/>
      <w:r w:rsidRPr="00D3559B">
        <w:rPr>
          <w:rFonts w:ascii="Times New Roman" w:eastAsia="Calibri" w:hAnsi="Times New Roman" w:cs="Times New Roman"/>
          <w:sz w:val="24"/>
          <w:szCs w:val="24"/>
          <w14:ligatures w14:val="standardContextual"/>
        </w:rPr>
        <w:t>significnatly</w:t>
      </w:r>
      <w:proofErr w:type="spellEnd"/>
      <w:r w:rsidRPr="00D3559B">
        <w:rPr>
          <w:rFonts w:ascii="Times New Roman" w:eastAsia="Calibri" w:hAnsi="Times New Roman" w:cs="Times New Roman"/>
          <w:sz w:val="24"/>
          <w:szCs w:val="24"/>
          <w14:ligatures w14:val="standardContextual"/>
        </w:rPr>
        <w:t xml:space="preserve"> lower in patients with high PLR &gt;150 compared to those with low PLR &lt;150 (P&lt;0.001). There was an insignificant difference between both groups regarding the age, residence and the family history of breast cancer and oral contraceptive pills. The pathological findings were </w:t>
      </w:r>
      <w:proofErr w:type="spellStart"/>
      <w:r w:rsidRPr="00D3559B">
        <w:rPr>
          <w:rFonts w:ascii="Times New Roman" w:eastAsia="Calibri" w:hAnsi="Times New Roman" w:cs="Times New Roman"/>
          <w:sz w:val="24"/>
          <w:szCs w:val="24"/>
          <w14:ligatures w14:val="standardContextual"/>
        </w:rPr>
        <w:t>insignifcantly</w:t>
      </w:r>
      <w:proofErr w:type="spellEnd"/>
      <w:r w:rsidRPr="00D3559B">
        <w:rPr>
          <w:rFonts w:ascii="Times New Roman" w:eastAsia="Calibri" w:hAnsi="Times New Roman" w:cs="Times New Roman"/>
          <w:sz w:val="24"/>
          <w:szCs w:val="24"/>
          <w14:ligatures w14:val="standardContextual"/>
        </w:rPr>
        <w:t xml:space="preserve"> different between both groups. </w:t>
      </w:r>
    </w:p>
    <w:p w14:paraId="314E562D" w14:textId="53EDE276"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Our results in consistent with Lu et al., </w:t>
      </w:r>
      <w:r w:rsidR="00706850">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&lt;EndNote&gt;&lt;Cite&gt;&lt;Author&gt;Lu&lt;/Author&gt;&lt;Year&gt;2018&lt;/Year&gt;&lt;RecNum&gt;14&lt;/RecNum&gt;&lt;DisplayText&gt;(14)&lt;/DisplayText&gt;&lt;record&gt;&lt;rec-number&gt;14&lt;/rec-number&gt;&lt;foreign-keys&gt;&lt;key app="EN" db-id="detrs55a600rv1effwovspsb0e0erzz992ta" timestamp="1748857286"&gt;14&lt;/key&gt;&lt;/foreign-keys&gt;&lt;ref-type name="Journal Article"&gt;17&lt;/ref-type&gt;&lt;contributors&gt;&lt;authors&gt;&lt;author&gt;Lu, Qianyi&lt;/author&gt;&lt;author&gt;Qin, Tao&lt;/author&gt;&lt;author&gt;Xu, Fei&lt;/author&gt;&lt;author&gt;Zeng, Yinduo&lt;/author&gt;&lt;author&gt;Xia, Wen&lt;/author&gt;&lt;author&gt;Zheng, Qiufan&lt;/author&gt;&lt;author&gt;Lee, Kaping&lt;/author&gt;&lt;author&gt;Zhang, Kai&lt;/author&gt;&lt;author&gt;Qin, Ge&lt;/author&gt;&lt;author&gt;Kong, Man Tek&lt;/author&gt;&lt;author&gt;Hong, Ruoxi&lt;/author&gt;&lt;author&gt;Shi, Yanxia&lt;/author&gt;&lt;author&gt;Yuan, Zhongyu&lt;/author&gt;&lt;author&gt;Wang, Shusen&lt;/author&gt;&lt;/authors&gt;&lt;/contributors&gt;&lt;titles&gt;&lt;title&gt;Clinical implication of platelet-lymphocyte ratio and PD-L1 in breast cancer patients&lt;/title&gt;&lt;secondary-title&gt;Transl Cancer Res&lt;/secondary-title&gt;&lt;short-title&gt;Clinical implication of platelet-lymphocyte ratio and PD-L1 in breast cancer patients&lt;/short-title&gt;&lt;/titles&gt;&lt;periodical&gt;&lt;full-title&gt;Transl Cancer Res&lt;/full-title&gt;&lt;/periodical&gt;&lt;pages&gt;659-667&lt;/pages&gt;&lt;volume&gt;7&lt;/volume&gt;&lt;number&gt;3&lt;/number&gt;&lt;dates&gt;&lt;year&gt;2018&lt;/year&gt;&lt;/dates&gt;&lt;isbn&gt;2219-6803&lt;/isbn&gt;&lt;urls&gt;&lt;related-urls&gt;&lt;url&gt;https://tcr.amegroups.org/article/view/21859&lt;/url&gt;&lt;/related-urls&gt;&lt;/urls&gt;&lt;/record&gt;&lt;/Cite&gt;&lt;/EndNote&gt;</w:instrText>
      </w:r>
      <w:r w:rsidR="00706850">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(14)</w:t>
      </w:r>
      <w:r w:rsidR="00706850">
        <w:rPr>
          <w:rFonts w:ascii="Times New Roman" w:eastAsia="Calibri" w:hAnsi="Times New Roman" w:cs="Times New Roman"/>
          <w:sz w:val="24"/>
          <w:szCs w:val="24"/>
          <w14:ligatures w14:val="standardContextual"/>
        </w:rPr>
        <w:fldChar w:fldCharType="end"/>
      </w:r>
      <w:r w:rsidR="00706850">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who aimed to evaluate the prognostic role of the combination of pre-treatment NLR, PLR, and PD-L1 in breast cancer. A total of 870 patients with breast cancer were included. The comparison between patients with low and high PLR revealed no statistically significant difference in median age, suggesting that PLR levels are not age-dependent.</w:t>
      </w:r>
    </w:p>
    <w:p w14:paraId="0F4346CE"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Regarding laboratory finding, the WBCs count, neutrophil and lymphocyte were significantly lower in patients with high PLR &gt;150 compared to those with low PLR &lt;150 group (P &lt;0.001, 0.023, &lt;0.001), while the PLR was significantly higher in patients with high PLR &gt;150 compared to those with low PLR &lt;150 (P &lt;0.001, &lt;0.001). There was an insignificant difference between both groups regarding the platelet count and PNR.</w:t>
      </w:r>
    </w:p>
    <w:p w14:paraId="22FFF560" w14:textId="381DFFA1"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Our results in consistent with </w:t>
      </w:r>
      <w:proofErr w:type="spellStart"/>
      <w:r w:rsidRPr="00D3559B">
        <w:rPr>
          <w:rFonts w:ascii="Times New Roman" w:eastAsia="Calibri" w:hAnsi="Times New Roman" w:cs="Times New Roman"/>
          <w:sz w:val="24"/>
          <w:szCs w:val="24"/>
          <w14:ligatures w14:val="standardContextual"/>
        </w:rPr>
        <w:t>Huszno</w:t>
      </w:r>
      <w:proofErr w:type="spellEnd"/>
      <w:r w:rsidRPr="00D3559B">
        <w:rPr>
          <w:rFonts w:ascii="Times New Roman" w:eastAsia="Calibri" w:hAnsi="Times New Roman" w:cs="Times New Roman"/>
          <w:sz w:val="24"/>
          <w:szCs w:val="24"/>
          <w14:ligatures w14:val="standardContextual"/>
        </w:rPr>
        <w:t xml:space="preserve"> et al., </w:t>
      </w:r>
      <w:r w:rsidR="00706850">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&lt;EndNote&gt;&lt;Cite&gt;&lt;Author&gt;Huszno&lt;/Author&gt;&lt;Year&gt;2022&lt;/Year&gt;&lt;RecNum&gt;15&lt;/RecNum&gt;&lt;DisplayText&gt;(15)&lt;/DisplayText&gt;&lt;record&gt;&lt;rec-number&gt;15&lt;/rec-number&gt;&lt;foreign-keys&gt;&lt;key app="EN" db-id="detrs55a600rv1effwovspsb0e0erzz992ta" timestamp="1748857286"&gt;15&lt;/key&gt;&lt;/foreign-keys&gt;&lt;ref-type name="Journal Article"&gt;17&lt;/ref-type&gt;&lt;contributors&gt;&lt;authors&gt;&lt;author&gt;Huszno, Joanna&lt;/author&gt;&lt;author&gt;&lt;style face="normal" font="default" size="100%"&gt;Ko&lt;/style&gt;&lt;style face="normal" font="default" charset="238" size="100%"&gt;łosza, Zofia&lt;/style&gt;&lt;/author&gt;&lt;author&gt;&lt;style face="normal" font="default" charset="238" size="100%"&gt;Mrochem-Kwarciak, Jolanta&lt;/style&gt;&lt;/author&gt;&lt;author&gt;&lt;style face="normal" font="default" charset="238" size="100%"&gt;Telka, Ewa&lt;/style&gt;&lt;/author&gt;&lt;author&gt;&lt;style face="normal" font="default" charset="238" size="100%"&gt;Jochymek, Bożena&lt;/style&gt;&lt;/author&gt;&lt;author&gt;&lt;style face="normal" font="default" charset="238" size="100%"&gt;Miszczyk, Leszek&lt;/style&gt;&lt;/author&gt;&lt;/authors&gt;&lt;/contributors&gt;&lt;titles&gt;&lt;title&gt;Role of neutrophil-lymphocyte ratio, platelet-lymphocyte ratio, lymphocyte-monocyte ratio and platelets in prognosis of patients with prostate cancer&lt;/title&gt;&lt;secondary-title&gt;Oncol Lett&lt;/secondary-title&gt;&lt;/titles&gt;&lt;periodical&gt;&lt;full-title&gt;Oncol Lett&lt;/full-title&gt;&lt;/periodical&gt;&lt;pages&gt;305-310&lt;/pages&gt;&lt;volume&gt;24&lt;/volume&gt;&lt;number&gt;3&lt;/number&gt;&lt;dates&gt;&lt;year&gt;2022&lt;/year&gt;&lt;/dates&gt;&lt;isbn&gt;1792-1074&lt;/isbn&gt;&lt;urls&gt;&lt;/urls&gt;&lt;/record&gt;&lt;/Cite&gt;&lt;/EndNote&gt;</w:instrText>
      </w:r>
      <w:r w:rsidR="00706850">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(15)</w:t>
      </w:r>
      <w:r w:rsidR="00706850">
        <w:rPr>
          <w:rFonts w:ascii="Times New Roman" w:eastAsia="Calibri" w:hAnsi="Times New Roman" w:cs="Times New Roman"/>
          <w:sz w:val="24"/>
          <w:szCs w:val="24"/>
          <w14:ligatures w14:val="standardContextual"/>
        </w:rPr>
        <w:fldChar w:fldCharType="end"/>
      </w:r>
      <w:r w:rsidR="00706850">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found that those with a high PLR (PLR &gt;89.6) had significantly lower WBC (6.16×10⁹/L vs. 7.45×10⁹/L, P=0.0009) and lymphocyte counts (1.75×10⁹/L vs. 2.44×10⁹/L, P=0.0001) compared to those with a low PLR (PLR ≤89.6). Additionally, the high PLR group had higher platelet counts (230×10⁹/L vs. 165×10⁹/L, P=0.0001) and elevated NLR (2.08 vs. 1.66, P=0.002).</w:t>
      </w:r>
    </w:p>
    <w:p w14:paraId="5075219E" w14:textId="280D3CB0"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The current study revealed that there was a </w:t>
      </w:r>
      <w:r w:rsidR="000D5741" w:rsidRPr="00D3559B">
        <w:rPr>
          <w:rFonts w:ascii="Times New Roman" w:eastAsia="Calibri" w:hAnsi="Times New Roman" w:cs="Times New Roman"/>
          <w:sz w:val="24"/>
          <w:szCs w:val="24"/>
          <w14:ligatures w14:val="standardContextual"/>
        </w:rPr>
        <w:t>significant</w:t>
      </w:r>
      <w:r w:rsidRPr="00D3559B">
        <w:rPr>
          <w:rFonts w:ascii="Times New Roman" w:eastAsia="Calibri" w:hAnsi="Times New Roman" w:cs="Times New Roman"/>
          <w:sz w:val="24"/>
          <w:szCs w:val="24"/>
          <w14:ligatures w14:val="standardContextual"/>
        </w:rPr>
        <w:t xml:space="preserve"> difference between both groups </w:t>
      </w:r>
      <w:r w:rsidR="000D5741" w:rsidRPr="00D3559B">
        <w:rPr>
          <w:rFonts w:ascii="Times New Roman" w:eastAsia="Calibri" w:hAnsi="Times New Roman" w:cs="Times New Roman"/>
          <w:sz w:val="24"/>
          <w:szCs w:val="24"/>
          <w14:ligatures w14:val="standardContextual"/>
        </w:rPr>
        <w:t>regarding</w:t>
      </w:r>
      <w:r w:rsidRPr="00D3559B">
        <w:rPr>
          <w:rFonts w:ascii="Times New Roman" w:eastAsia="Calibri" w:hAnsi="Times New Roman" w:cs="Times New Roman"/>
          <w:sz w:val="24"/>
          <w:szCs w:val="24"/>
          <w14:ligatures w14:val="standardContextual"/>
        </w:rPr>
        <w:t xml:space="preserve"> the molecular subtypes (P&lt;0.001). Luminal A,B were </w:t>
      </w:r>
      <w:r w:rsidR="000D5741" w:rsidRPr="00D3559B">
        <w:rPr>
          <w:rFonts w:ascii="Times New Roman" w:eastAsia="Calibri" w:hAnsi="Times New Roman" w:cs="Times New Roman"/>
          <w:sz w:val="24"/>
          <w:szCs w:val="24"/>
          <w14:ligatures w14:val="standardContextual"/>
        </w:rPr>
        <w:t>significantly</w:t>
      </w:r>
      <w:r w:rsidRPr="00D3559B">
        <w:rPr>
          <w:rFonts w:ascii="Times New Roman" w:eastAsia="Calibri" w:hAnsi="Times New Roman" w:cs="Times New Roman"/>
          <w:sz w:val="24"/>
          <w:szCs w:val="24"/>
          <w14:ligatures w14:val="standardContextual"/>
        </w:rPr>
        <w:t xml:space="preserve"> lower in patients with high PLR, while Her2 enriched and basal tumor were </w:t>
      </w:r>
      <w:r w:rsidR="000D5741" w:rsidRPr="00D3559B">
        <w:rPr>
          <w:rFonts w:ascii="Times New Roman" w:eastAsia="Calibri" w:hAnsi="Times New Roman" w:cs="Times New Roman"/>
          <w:sz w:val="24"/>
          <w:szCs w:val="24"/>
          <w14:ligatures w14:val="standardContextual"/>
        </w:rPr>
        <w:t>significantly</w:t>
      </w:r>
      <w:r w:rsidRPr="00D3559B">
        <w:rPr>
          <w:rFonts w:ascii="Times New Roman" w:eastAsia="Calibri" w:hAnsi="Times New Roman" w:cs="Times New Roman"/>
          <w:sz w:val="24"/>
          <w:szCs w:val="24"/>
          <w14:ligatures w14:val="standardContextual"/>
        </w:rPr>
        <w:t xml:space="preserve"> higher in patients with high PLR, compared to those with low PLR.</w:t>
      </w:r>
    </w:p>
    <w:p w14:paraId="389777A6" w14:textId="21993F6D"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This came in accordance with </w:t>
      </w:r>
      <w:proofErr w:type="spellStart"/>
      <w:r w:rsidRPr="00D3559B">
        <w:rPr>
          <w:rFonts w:ascii="Times New Roman" w:eastAsia="Calibri" w:hAnsi="Times New Roman" w:cs="Times New Roman"/>
          <w:sz w:val="24"/>
          <w:szCs w:val="24"/>
          <w14:ligatures w14:val="standardContextual"/>
        </w:rPr>
        <w:t>Tekyol</w:t>
      </w:r>
      <w:proofErr w:type="spellEnd"/>
      <w:r w:rsidRPr="00D3559B">
        <w:rPr>
          <w:rFonts w:ascii="Times New Roman" w:eastAsia="Calibri" w:hAnsi="Times New Roman" w:cs="Times New Roman"/>
          <w:sz w:val="24"/>
          <w:szCs w:val="24"/>
          <w14:ligatures w14:val="standardContextual"/>
        </w:rPr>
        <w:t xml:space="preserve"> et al., </w:t>
      </w:r>
      <w:r w:rsidR="000D5741">
        <w:rPr>
          <w:rFonts w:ascii="Times New Roman" w:eastAsia="Calibri" w:hAnsi="Times New Roman" w:cs="Times New Roman"/>
          <w:sz w:val="24"/>
          <w:szCs w:val="24"/>
          <w14:ligatures w14:val="standardContextual"/>
        </w:rPr>
        <w:fldChar w:fldCharType="begin">
          <w:fldData xml:space="preserve">PEVuZE5vdGU+PENpdGU+PEF1dGhvcj5LYXl0YXogVGVreW9sPC9BdXRob3I+PFllYXI+MjAyMTwv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=
</w:fldData>
        </w:fldChar>
      </w:r>
      <w:r w:rsidR="008F3B3E">
        <w:rPr>
          <w:rFonts w:ascii="Times New Roman" w:eastAsia="Calibri" w:hAnsi="Times New Roman" w:cs="Times New Roman"/>
          <w:sz w:val="24"/>
          <w:szCs w:val="24"/>
          <w14:ligatures w14:val="standardContextual"/>
        </w:rPr>
        <w:instrText xml:space="preserve"> ADDIN EN.CITE </w:instrText>
      </w:r>
      <w:r w:rsidR="008F3B3E">
        <w:rPr>
          <w:rFonts w:ascii="Times New Roman" w:eastAsia="Calibri" w:hAnsi="Times New Roman" w:cs="Times New Roman"/>
          <w:sz w:val="24"/>
          <w:szCs w:val="24"/>
          <w14:ligatures w14:val="standardContextual"/>
        </w:rPr>
        <w:fldChar w:fldCharType="begin">
          <w:fldData xml:space="preserve">PEVuZE5vdGU+PENpdGU+PEF1dGhvcj5LYXl0YXogVGVreW9sPC9BdXRob3I+PFllYXI+MjAyMTwv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=
</w:fldData>
        </w:fldChar>
      </w:r>
      <w:r w:rsidR="008F3B3E">
        <w:rPr>
          <w:rFonts w:ascii="Times New Roman" w:eastAsia="Calibri" w:hAnsi="Times New Roman" w:cs="Times New Roman"/>
          <w:sz w:val="24"/>
          <w:szCs w:val="24"/>
          <w14:ligatures w14:val="standardContextual"/>
        </w:rPr>
        <w:instrText xml:space="preserve"> ADDIN EN.CITE.DATA </w:instrText>
      </w:r>
      <w:r w:rsidR="008F3B3E">
        <w:rPr>
          <w:rFonts w:ascii="Times New Roman" w:eastAsia="Calibri" w:hAnsi="Times New Roman" w:cs="Times New Roman"/>
          <w:sz w:val="24"/>
          <w:szCs w:val="24"/>
          <w14:ligatures w14:val="standardContextual"/>
        </w:rPr>
      </w:r>
      <w:r w:rsidR="008F3B3E">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(16)</w:t>
      </w:r>
      <w:r w:rsidR="000D5741">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examining inflammatory biomarkers in breast cancer patients found that HER-2 enriched tumors had a higher prevalence in patients with high PLR (≥150), while Luminal A tumors were more common in those with low PLR (&lt;150).</w:t>
      </w:r>
    </w:p>
    <w:p w14:paraId="25D5FF90"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lastRenderedPageBreak/>
        <w:t>Regarding the TNM classification before treatment, T staging was significantly different between both groups (P=0.002), while there was an insignificant difference between both groups regarding N and M staging. There was a significant difference between both groups regarding the tumor stages (P&lt;0.001).</w:t>
      </w:r>
    </w:p>
    <w:p w14:paraId="00A4D6BB" w14:textId="147C9C94"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Similarly, our findings in agreement with Gong et al.,</w:t>
      </w:r>
      <w:r w:rsidR="000D5741">
        <w:rPr>
          <w:rFonts w:ascii="Times New Roman" w:eastAsia="Calibri" w:hAnsi="Times New Roman" w:cs="Times New Roman"/>
          <w:sz w:val="24"/>
          <w:szCs w:val="24"/>
          <w14:ligatures w14:val="standardContextual"/>
        </w:rPr>
        <w:t xml:space="preserve"> </w:t>
      </w:r>
      <w:r w:rsidR="000D5741">
        <w:rPr>
          <w:rFonts w:ascii="Times New Roman" w:eastAsia="Calibri" w:hAnsi="Times New Roman" w:cs="Times New Roman"/>
          <w:sz w:val="24"/>
          <w:szCs w:val="24"/>
          <w14:ligatures w14:val="standardContextual"/>
        </w:rPr>
        <w:fldChar w:fldCharType="begin">
          <w:fldData xml:space="preserve">PEVuZE5vdGU+PENpdGU+PEF1dGhvcj5Hb25nPC9BdXRob3I+PFllYXI+MjAyMjwvWWVhcj48UmVj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</w:fldData>
        </w:fldChar>
      </w:r>
      <w:r w:rsidR="008F3B3E">
        <w:rPr>
          <w:rFonts w:ascii="Times New Roman" w:eastAsia="Calibri" w:hAnsi="Times New Roman" w:cs="Times New Roman"/>
          <w:sz w:val="24"/>
          <w:szCs w:val="24"/>
          <w14:ligatures w14:val="standardContextual"/>
        </w:rPr>
        <w:instrText xml:space="preserve"> ADDIN EN.CITE </w:instrText>
      </w:r>
      <w:r w:rsidR="008F3B3E">
        <w:rPr>
          <w:rFonts w:ascii="Times New Roman" w:eastAsia="Calibri" w:hAnsi="Times New Roman" w:cs="Times New Roman"/>
          <w:sz w:val="24"/>
          <w:szCs w:val="24"/>
          <w14:ligatures w14:val="standardContextual"/>
        </w:rPr>
        <w:fldChar w:fldCharType="begin">
          <w:fldData xml:space="preserve">PEVuZE5vdGU+PENpdGU+PEF1dGhvcj5Hb25nPC9BdXRob3I+PFllYXI+MjAyMjwvWWVhcj48UmVj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</w:fldData>
        </w:fldChar>
      </w:r>
      <w:r w:rsidR="008F3B3E">
        <w:rPr>
          <w:rFonts w:ascii="Times New Roman" w:eastAsia="Calibri" w:hAnsi="Times New Roman" w:cs="Times New Roman"/>
          <w:sz w:val="24"/>
          <w:szCs w:val="24"/>
          <w14:ligatures w14:val="standardContextual"/>
        </w:rPr>
        <w:instrText xml:space="preserve"> ADDIN EN.CITE.DATA </w:instrText>
      </w:r>
      <w:r w:rsidR="008F3B3E">
        <w:rPr>
          <w:rFonts w:ascii="Times New Roman" w:eastAsia="Calibri" w:hAnsi="Times New Roman" w:cs="Times New Roman"/>
          <w:sz w:val="24"/>
          <w:szCs w:val="24"/>
          <w14:ligatures w14:val="standardContextual"/>
        </w:rPr>
      </w:r>
      <w:r w:rsidR="008F3B3E">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(8)</w:t>
      </w:r>
      <w:r w:rsidR="000D5741">
        <w:rPr>
          <w:rFonts w:ascii="Times New Roman" w:eastAsia="Calibri" w:hAnsi="Times New Roman" w:cs="Times New Roman"/>
          <w:sz w:val="24"/>
          <w:szCs w:val="24"/>
          <w14:ligatures w14:val="standardContextual"/>
        </w:rPr>
        <w:fldChar w:fldCharType="end"/>
      </w:r>
      <w:r w:rsidRPr="00D3559B">
        <w:rPr>
          <w:rFonts w:ascii="Times New Roman" w:eastAsia="Calibri" w:hAnsi="Times New Roman" w:cs="Times New Roman"/>
          <w:sz w:val="24"/>
          <w:szCs w:val="24"/>
          <w14:ligatures w14:val="standardContextual"/>
        </w:rPr>
        <w:t xml:space="preserve"> found that high PLR was significantly correlated with advanced TNM stage (OR = 1.89; 95% CI 1.25, 2.87; P = 0.003; I2 = 84%; P &lt; 0.01),</w:t>
      </w:r>
    </w:p>
    <w:p w14:paraId="4ECE7982" w14:textId="6EFC9603"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Also, our findings in line with Lu et al., </w:t>
      </w:r>
      <w:r w:rsidR="000D5741">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&lt;EndNote&gt;&lt;Cite&gt;&lt;Author&gt;Xu&lt;/Author&gt;&lt;Year&gt;2017&lt;/Year&gt;&lt;RecNum&gt;17&lt;/RecNum&gt;&lt;DisplayText&gt;(17)&lt;/DisplayText&gt;&lt;record&gt;&lt;rec-number&gt;17&lt;/rec-number&gt;&lt;foreign-keys&gt;&lt;key app="EN" db-id="detrs55a600rv1effwovspsb0e0erzz992ta" timestamp="1748857286"&gt;17&lt;/key&gt;&lt;/foreign-keys&gt;&lt;ref-type name="Journal Article"&gt;17&lt;/ref-type&gt;&lt;contributors&gt;&lt;authors&gt;&lt;author&gt;Xu, J.&lt;/author&gt;&lt;author&gt;Ni, C.&lt;/author&gt;&lt;author&gt;Ma, C.&lt;/author&gt;&lt;author&gt;Zhang, L.&lt;/author&gt;&lt;author&gt;Jing, X.&lt;/author&gt;&lt;author&gt;Li, C.&lt;/author&gt;&lt;author&gt;Liu, Yan&lt;/author&gt;&lt;author&gt;Qu, X.&lt;/author&gt;&lt;/authors&gt;&lt;/contributors&gt;&lt;titles&gt;&lt;title&gt;Association of neutrophil/lymphocyte ratio and platelet/lymphocyte ratio with ER and PR in breast cancer patients and their changes after neoadjuvant chemotherapy&lt;/title&gt;&lt;secondary-title&gt;Clin Transl Oncol&lt;/secondary-title&gt;&lt;/titles&gt;&lt;periodical&gt;&lt;full-title&gt;Clin Transl Oncol&lt;/full-title&gt;&lt;/periodical&gt;&lt;pages&gt;41-63&lt;/pages&gt;&lt;volume&gt;19&lt;/volume&gt;&lt;dates&gt;&lt;year&gt;2017&lt;/year&gt;&lt;pub-dates&gt;&lt;date&gt;02/28&lt;/date&gt;&lt;/pub-dates&gt;&lt;/dates&gt;&lt;urls&gt;&lt;/urls&gt;&lt;electronic-resource-num&gt;10.1007/s12094-017-1630-5&lt;/electronic-resource-num&gt;&lt;/record&gt;&lt;/Cite&gt;&lt;/EndNote&gt;</w:instrText>
      </w:r>
      <w:r w:rsidR="000D5741">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(17)</w:t>
      </w:r>
      <w:r w:rsidR="000D5741">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determined that analysis of tumor stage distribution between the low and high PLR groups revealed a statistically significant difference (P = 0.044). These findings suggest that a higher PLR may be associated with more advanced disease at presentation, supporting its role as a potential indicator of tumor aggressiveness.</w:t>
      </w:r>
    </w:p>
    <w:p w14:paraId="62184532"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The present study revealed that the expression of ER and PR were significantly lower in patients with higher PLR compared to those with low PLR (P=0.005, &lt;0.001), while the expression of HER2 was significantly higher in patients with higher PLR compared to those with low PLR (P=0.012).</w:t>
      </w:r>
    </w:p>
    <w:p w14:paraId="582373B7" w14:textId="0238CCD9"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This came in accordance with </w:t>
      </w:r>
      <w:proofErr w:type="spellStart"/>
      <w:r w:rsidRPr="00D3559B">
        <w:rPr>
          <w:rFonts w:ascii="Times New Roman" w:eastAsia="Calibri" w:hAnsi="Times New Roman" w:cs="Times New Roman"/>
          <w:sz w:val="24"/>
          <w:szCs w:val="24"/>
          <w14:ligatures w14:val="standardContextual"/>
        </w:rPr>
        <w:t>Krenn-Pilko</w:t>
      </w:r>
      <w:proofErr w:type="spellEnd"/>
      <w:r w:rsidRPr="00D3559B">
        <w:rPr>
          <w:rFonts w:ascii="Times New Roman" w:eastAsia="Calibri" w:hAnsi="Times New Roman" w:cs="Times New Roman"/>
          <w:sz w:val="24"/>
          <w:szCs w:val="24"/>
          <w14:ligatures w14:val="standardContextual"/>
        </w:rPr>
        <w:t xml:space="preserve"> et al., </w:t>
      </w:r>
      <w:r w:rsidR="000D5741">
        <w:rPr>
          <w:rFonts w:ascii="Times New Roman" w:eastAsia="Calibri" w:hAnsi="Times New Roman" w:cs="Times New Roman"/>
          <w:sz w:val="24"/>
          <w:szCs w:val="24"/>
          <w14:ligatures w14:val="standardContextual"/>
        </w:rPr>
        <w:fldChar w:fldCharType="begin">
          <w:fldData xml:space="preserve">PEVuZE5vdGU+PENpdGU+PEF1dGhvcj5LcmVubi1QaWxrbzwvQXV0aG9yPjxZZWFyPjIwMTQ8L1ll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</w:fldData>
        </w:fldChar>
      </w:r>
      <w:r w:rsidR="008F3B3E">
        <w:rPr>
          <w:rFonts w:ascii="Times New Roman" w:eastAsia="Calibri" w:hAnsi="Times New Roman" w:cs="Times New Roman"/>
          <w:sz w:val="24"/>
          <w:szCs w:val="24"/>
          <w14:ligatures w14:val="standardContextual"/>
        </w:rPr>
        <w:instrText xml:space="preserve"> ADDIN EN.CITE </w:instrText>
      </w:r>
      <w:r w:rsidR="008F3B3E">
        <w:rPr>
          <w:rFonts w:ascii="Times New Roman" w:eastAsia="Calibri" w:hAnsi="Times New Roman" w:cs="Times New Roman"/>
          <w:sz w:val="24"/>
          <w:szCs w:val="24"/>
          <w14:ligatures w14:val="standardContextual"/>
        </w:rPr>
        <w:fldChar w:fldCharType="begin">
          <w:fldData xml:space="preserve">PEVuZE5vdGU+PENpdGU+PEF1dGhvcj5LcmVubi1QaWxrbzwvQXV0aG9yPjxZZWFyPjIwMTQ8L1ll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</w:fldData>
        </w:fldChar>
      </w:r>
      <w:r w:rsidR="008F3B3E">
        <w:rPr>
          <w:rFonts w:ascii="Times New Roman" w:eastAsia="Calibri" w:hAnsi="Times New Roman" w:cs="Times New Roman"/>
          <w:sz w:val="24"/>
          <w:szCs w:val="24"/>
          <w14:ligatures w14:val="standardContextual"/>
        </w:rPr>
        <w:instrText xml:space="preserve"> ADDIN EN.CITE.DATA </w:instrText>
      </w:r>
      <w:r w:rsidR="008F3B3E">
        <w:rPr>
          <w:rFonts w:ascii="Times New Roman" w:eastAsia="Calibri" w:hAnsi="Times New Roman" w:cs="Times New Roman"/>
          <w:sz w:val="24"/>
          <w:szCs w:val="24"/>
          <w14:ligatures w14:val="standardContextual"/>
        </w:rPr>
      </w:r>
      <w:r w:rsidR="008F3B3E">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(13)</w:t>
      </w:r>
      <w:r w:rsidR="000D5741">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found that a high PLR significantly correlated with ER-negative tumors, PR status and Her2 overexpression.</w:t>
      </w:r>
    </w:p>
    <w:p w14:paraId="631B2A8A" w14:textId="66D9689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In disagreement with the present study, Lu et al., </w:t>
      </w:r>
      <w:r w:rsidR="000D5741">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&lt;EndNote&gt;&lt;Cite&gt;&lt;Author&gt;Xu&lt;/Author&gt;&lt;Year&gt;2017&lt;/Year&gt;&lt;RecNum&gt;17&lt;/RecNum&gt;&lt;DisplayText&gt;(17)&lt;/DisplayText&gt;&lt;record&gt;&lt;rec-number&gt;17&lt;/rec-number&gt;&lt;foreign-keys&gt;&lt;key app="EN" db-id="detrs55a600rv1effwovspsb0e0erzz992ta" timestamp="1748857286"&gt;17&lt;/key&gt;&lt;/foreign-keys&gt;&lt;ref-type name="Journal Article"&gt;17&lt;/ref-type&gt;&lt;contributors&gt;&lt;authors&gt;&lt;author&gt;Xu, J.&lt;/author&gt;&lt;author&gt;Ni, C.&lt;/author&gt;&lt;author&gt;Ma, C.&lt;/author&gt;&lt;author&gt;Zhang, L.&lt;/author&gt;&lt;author&gt;Jing, X.&lt;/author&gt;&lt;author&gt;Li, C.&lt;/author&gt;&lt;author&gt;Liu, Yan&lt;/author&gt;&lt;author&gt;Qu, X.&lt;/author&gt;&lt;/authors&gt;&lt;/contributors&gt;&lt;titles&gt;&lt;title&gt;Association of neutrophil/lymphocyte ratio and platelet/lymphocyte ratio with ER and PR in breast cancer patients and their changes after neoadjuvant chemotherapy&lt;/title&gt;&lt;secondary-title&gt;Clin Transl Oncol&lt;/secondary-title&gt;&lt;/titles&gt;&lt;periodical&gt;&lt;full-title&gt;Clin Transl Oncol&lt;/full-title&gt;&lt;/periodical&gt;&lt;pages&gt;41-63&lt;/pages&gt;&lt;volume&gt;19&lt;/volume&gt;&lt;dates&gt;&lt;year&gt;2017&lt;/year&gt;&lt;pub-dates&gt;&lt;date&gt;02/28&lt;/date&gt;&lt;/pub-dates&gt;&lt;/dates&gt;&lt;urls&gt;&lt;/urls&gt;&lt;electronic-resource-num&gt;10.1007/s12094-017-1630-5&lt;/electronic-resource-num&gt;&lt;/record&gt;&lt;/Cite&gt;&lt;/EndNote&gt;</w:instrText>
      </w:r>
      <w:r w:rsidR="000D5741">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(17)</w:t>
      </w:r>
      <w:r w:rsidR="000D5741">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determined that there was no statistically significant difference between the low and high PLR groups as regard ER, PR and HER2.</w:t>
      </w:r>
    </w:p>
    <w:p w14:paraId="243BE207"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The current study revealed that the KI67 expression was significantly higher in patients with higher PLR compared to those with low PLR (P &lt;0.001).</w:t>
      </w:r>
    </w:p>
    <w:p w14:paraId="285ADD9E" w14:textId="18045765"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Our findings in agreement with </w:t>
      </w:r>
      <w:proofErr w:type="spellStart"/>
      <w:r w:rsidRPr="00D3559B">
        <w:rPr>
          <w:rFonts w:ascii="Times New Roman" w:eastAsia="Calibri" w:hAnsi="Times New Roman" w:cs="Times New Roman"/>
          <w:sz w:val="24"/>
          <w:szCs w:val="24"/>
          <w14:ligatures w14:val="standardContextual"/>
        </w:rPr>
        <w:t>Bahgat</w:t>
      </w:r>
      <w:proofErr w:type="spellEnd"/>
      <w:r w:rsidRPr="00D3559B">
        <w:rPr>
          <w:rFonts w:ascii="Times New Roman" w:eastAsia="Calibri" w:hAnsi="Times New Roman" w:cs="Times New Roman"/>
          <w:sz w:val="24"/>
          <w:szCs w:val="24"/>
          <w14:ligatures w14:val="standardContextual"/>
        </w:rPr>
        <w:t xml:space="preserve">, T. </w:t>
      </w:r>
      <w:r w:rsidR="000D5741">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&lt;EndNote&gt;&lt;Cite&gt;&lt;Author&gt;Bahgat&lt;/Author&gt;&lt;Year&gt;2017&lt;/Year&gt;&lt;RecNum&gt;18&lt;/RecNum&gt;&lt;DisplayText&gt;(18)&lt;/DisplayText&gt;&lt;record&gt;&lt;rec-number&gt;18&lt;/rec-number&gt;&lt;foreign-keys&gt;&lt;key app="EN" db-id="detrs55a600rv1effwovspsb0e0erzz992ta" timestamp="1748857286"&gt;18&lt;/key&gt;&lt;/foreign-keys&gt;&lt;ref-type name="Journal Article"&gt;17&lt;/ref-type&gt;&lt;contributors&gt;&lt;authors&gt;&lt;author&gt;Bahgat, Taha&lt;/author&gt;&lt;/authors&gt;&lt;/contributors&gt;&lt;titles&gt;&lt;title&gt;Breast cancer prognostication with neutrophil–lymphocyte ratio and platelet–lymphocyte ratio&lt;/title&gt;&lt;secondary-title&gt;Al-Azhar Assiut Med J&lt;/secondary-title&gt;&lt;/titles&gt;&lt;periodical&gt;&lt;full-title&gt;Al-Azhar Assiut Med J&lt;/full-title&gt;&lt;/periodical&gt;&lt;pages&gt;41-80&lt;/pages&gt;&lt;volume&gt;15&lt;/volume&gt;&lt;number&gt;4&lt;/number&gt;&lt;keywords&gt;&lt;keyword&gt;breast cancer&lt;/keyword&gt;&lt;keyword&gt;neutrophil–lymphocyte ratio&lt;/keyword&gt;&lt;keyword&gt;platelet–lymphocyte ratio&lt;/keyword&gt;&lt;/keywords&gt;&lt;dates&gt;&lt;year&gt;2017&lt;/year&gt;&lt;/dates&gt;&lt;isbn&gt;1687-1693&lt;/isbn&gt;&lt;urls&gt;&lt;related-urls&gt;&lt;url&gt;https://journals.lww.com/aamj/fulltext/2017/15040/breast_cancer_prognostication_with.4.aspx&lt;/url&gt;&lt;/related-urls&gt;&lt;/urls&gt;&lt;/record&gt;&lt;/Cite&gt;&lt;/EndNote&gt;</w:instrText>
      </w:r>
      <w:r w:rsidR="000D5741">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(18)</w:t>
      </w:r>
      <w:r w:rsidR="000D5741">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found that a statistically significant association was observed between Ki-67 expression levels and PLR groups (P = 0.001). Specifically, high Ki-67 (&gt;14%) was markedly more frequent in the high PLR group (90%) compared to the low PLR group (37.5%). Conversely, low Ki-67 (&lt;14%) was more common in the low PLR group (62.5%).</w:t>
      </w:r>
    </w:p>
    <w:p w14:paraId="40F4BD48" w14:textId="4FDE610A"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In contrast, our findings disagreed with Asano et al., </w:t>
      </w:r>
      <w:r w:rsidR="000D5741">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&lt;EndNote&gt;&lt;Cite&gt;&lt;Author&gt;Asano&lt;/Author&gt;&lt;Year&gt;2016&lt;/Year&gt;&lt;RecNum&gt;19&lt;/RecNum&gt;&lt;DisplayText&gt;(19)&lt;/DisplayText&gt;&lt;record&gt;&lt;rec-number&gt;19&lt;/rec-number&gt;&lt;foreign-keys&gt;&lt;key app="EN" db-id="detrs55a600rv1effwovspsb0e0erzz992ta" timestamp="1748857286"&gt;19&lt;/key&gt;&lt;/foreign-keys&gt;&lt;ref-type name="Journal Article"&gt;17&lt;/ref-type&gt;&lt;contributors&gt;&lt;authors&gt;&lt;author&gt;Asano, Yuka&lt;/author&gt;&lt;author&gt;Kashiwagi, Shinichiro&lt;/author&gt;&lt;author&gt;Onoda, Naoyoshi&lt;/author&gt;&lt;author&gt;Noda, Satoru&lt;/author&gt;&lt;author&gt;Kawajiri, Hidemi&lt;/author&gt;&lt;author&gt;Takashima, Tsutomu&lt;/author&gt;&lt;author&gt;Ohsawa, Masahiko&lt;/author&gt;&lt;author&gt;Kitagawa, Seiichi&lt;/author&gt;&lt;author&gt;Hirakawa, Kosei&lt;/author&gt;&lt;/authors&gt;&lt;/contributors&gt;&lt;titles&gt;&lt;title&gt;Platelet–lymphocyte ratio as a useful predictor of the therapeutic effect of neoadjuvant chemotherapy in breast cancer&lt;/title&gt;&lt;secondary-title&gt;PloS one&lt;/secondary-title&gt;&lt;/titles&gt;&lt;periodical&gt;&lt;full-title&gt;PLoS One&lt;/full-title&gt;&lt;/periodical&gt;&lt;pages&gt;15-34&lt;/pages&gt;&lt;volume&gt;11&lt;/volume&gt;&lt;number&gt;7&lt;/number&gt;&lt;dates&gt;&lt;year&gt;2016&lt;/year&gt;&lt;/dates&gt;&lt;isbn&gt;1932-6203&lt;/isbn&gt;&lt;urls&gt;&lt;/urls&gt;&lt;/record&gt;&lt;/Cite&gt;&lt;/EndNote&gt;</w:instrText>
      </w:r>
      <w:r w:rsidR="000D5741">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(19)</w:t>
      </w:r>
      <w:r w:rsidR="000D5741">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reported that Ki-67 &gt;14%, a marker of higher tumor proliferation, was observed in 52.2% of the low PLR group and 61.8% of the high PLR group. Although a higher proportion of patients in the high PLR group exhibited elevated Ki-67 levels, the difference did not reach statistical significance (P = 0.210).</w:t>
      </w:r>
    </w:p>
    <w:p w14:paraId="080E468E" w14:textId="7777777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In the present study we found that the TNM classification including T, N and M staging were significantly different between both groups (P&lt;0.001, &lt;0.001, &lt;0.001). Before and after treatment, the tumor mass was significantly higher in patients with higher PLR compared to those with low PLR (P=0.002, &lt;0.001).</w:t>
      </w:r>
    </w:p>
    <w:p w14:paraId="26B56F6F" w14:textId="21A30972"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lastRenderedPageBreak/>
        <w:t xml:space="preserve">Our results in consistent with Anwar et al., </w:t>
      </w:r>
      <w:r w:rsidR="000D5741">
        <w:rPr>
          <w:rFonts w:ascii="Times New Roman" w:eastAsia="Calibri" w:hAnsi="Times New Roman" w:cs="Times New Roman"/>
          <w:sz w:val="24"/>
          <w:szCs w:val="24"/>
          <w14:ligatures w14:val="standardContextual"/>
        </w:rPr>
        <w:fldChar w:fldCharType="begin"/>
      </w:r>
      <w:r w:rsidR="008F3B3E">
        <w:rPr>
          <w:rFonts w:ascii="Times New Roman" w:eastAsia="Calibri" w:hAnsi="Times New Roman" w:cs="Times New Roman"/>
          <w:sz w:val="24"/>
          <w:szCs w:val="24"/>
          <w14:ligatures w14:val="standardContextual"/>
        </w:rPr>
        <w:instrText xml:space="preserve"> ADDIN EN.CITE &lt;EndNote&gt;&lt;Cite&gt;&lt;Author&gt;Anwar&lt;/Author&gt;&lt;Year&gt;2021&lt;/Year&gt;&lt;RecNum&gt;20&lt;/RecNum&gt;&lt;DisplayText&gt;(20)&lt;/DisplayText&gt;&lt;record&gt;&lt;rec-number&gt;20&lt;/rec-number&gt;&lt;foreign-keys&gt;&lt;key app="EN" db-id="detrs55a600rv1effwovspsb0e0erzz992ta" timestamp="1748857286"&gt;20&lt;/key&gt;&lt;/foreign-keys&gt;&lt;ref-type name="Journal Article"&gt;17&lt;/ref-type&gt;&lt;contributors&gt;&lt;authors&gt;&lt;author&gt;Anwar, Sumadi Lukman&lt;/author&gt;&lt;author&gt;Cahyono, Roby&lt;/author&gt;&lt;author&gt;Avanti, Widya Surya&lt;/author&gt;&lt;author&gt;Budiman, Heru Yudhanto&lt;/author&gt;&lt;author&gt;Harahap, Wirsma Arif&lt;/author&gt;&lt;author&gt;Aryandono, Teguh&lt;/author&gt;&lt;/authors&gt;&lt;/contributors&gt;&lt;titles&gt;&lt;title&gt;Pre-treatment neutrophil-lymphocyte and platelet-lymphocyte ratios as additional markers for breast cancer progression: A retrospective cohort study&lt;/title&gt;&lt;secondary-title&gt;Ann Med Surg&lt;/secondary-title&gt;&lt;/titles&gt;&lt;periodical&gt;&lt;full-title&gt;Ann Med Surg&lt;/full-title&gt;&lt;/periodical&gt;&lt;pages&gt;10-44&lt;/pages&gt;&lt;volume&gt;63&lt;/volume&gt;&lt;keywords&gt;&lt;keyword&gt;Breast cancer&lt;/keyword&gt;&lt;keyword&gt;NLR&lt;/keyword&gt;&lt;keyword&gt;Disease progression&lt;/keyword&gt;&lt;keyword&gt;Metastasis&lt;/keyword&gt;&lt;keyword&gt;Breast surgery&lt;/keyword&gt;&lt;/keywords&gt;&lt;dates&gt;&lt;year&gt;2021&lt;/year&gt;&lt;pub-dates&gt;&lt;date&gt;2021/03/01/&lt;/date&gt;&lt;/pub-dates&gt;&lt;/dates&gt;&lt;isbn&gt;2049-0801&lt;/isbn&gt;&lt;urls&gt;&lt;related-urls&gt;&lt;url&gt;https://www.sciencedirect.com/science/article/pii/S2049080121000935&lt;/url&gt;&lt;/related-urls&gt;&lt;/urls&gt;&lt;electronic-resource-num&gt;https://doi.org/10.1016/j.amsu.2021.01.092&lt;/electronic-resource-num&gt;&lt;/record&gt;&lt;/Cite&gt;&lt;/EndNote&gt;</w:instrText>
      </w:r>
      <w:r w:rsidR="000D5741">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(20)</w:t>
      </w:r>
      <w:r w:rsidR="000D5741">
        <w:rPr>
          <w:rFonts w:ascii="Times New Roman" w:eastAsia="Calibri" w:hAnsi="Times New Roman" w:cs="Times New Roman"/>
          <w:sz w:val="24"/>
          <w:szCs w:val="24"/>
          <w14:ligatures w14:val="standardContextual"/>
        </w:rPr>
        <w:fldChar w:fldCharType="end"/>
      </w:r>
      <w:r w:rsidR="000D5741">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showed that the tumor mass was significantly higher in patients with higher PLR compared to those with low PLR.</w:t>
      </w:r>
    </w:p>
    <w:p w14:paraId="79260324" w14:textId="41B84397" w:rsidR="00D3559B" w:rsidRPr="00D3559B"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The present study revealed that there was a </w:t>
      </w:r>
      <w:r w:rsidR="000E12C8" w:rsidRPr="00D3559B">
        <w:rPr>
          <w:rFonts w:ascii="Times New Roman" w:eastAsia="Calibri" w:hAnsi="Times New Roman" w:cs="Times New Roman"/>
          <w:sz w:val="24"/>
          <w:szCs w:val="24"/>
          <w14:ligatures w14:val="standardContextual"/>
        </w:rPr>
        <w:t>significant</w:t>
      </w:r>
      <w:r w:rsidRPr="00D3559B">
        <w:rPr>
          <w:rFonts w:ascii="Times New Roman" w:eastAsia="Calibri" w:hAnsi="Times New Roman" w:cs="Times New Roman"/>
          <w:sz w:val="24"/>
          <w:szCs w:val="24"/>
          <w14:ligatures w14:val="standardContextual"/>
        </w:rPr>
        <w:t xml:space="preserve"> difference between both groups regarding the metastasis (P&lt;0.001), as patients with high PLR &gt;150 showed higher </w:t>
      </w:r>
      <w:r w:rsidR="000E12C8" w:rsidRPr="00D3559B">
        <w:rPr>
          <w:rFonts w:ascii="Times New Roman" w:eastAsia="Calibri" w:hAnsi="Times New Roman" w:cs="Times New Roman"/>
          <w:sz w:val="24"/>
          <w:szCs w:val="24"/>
          <w14:ligatures w14:val="standardContextual"/>
        </w:rPr>
        <w:t>metastasis</w:t>
      </w:r>
      <w:r w:rsidRPr="00D3559B">
        <w:rPr>
          <w:rFonts w:ascii="Times New Roman" w:eastAsia="Calibri" w:hAnsi="Times New Roman" w:cs="Times New Roman"/>
          <w:sz w:val="24"/>
          <w:szCs w:val="24"/>
          <w14:ligatures w14:val="standardContextual"/>
        </w:rPr>
        <w:t xml:space="preserve"> compared to those with low PLR.</w:t>
      </w:r>
    </w:p>
    <w:p w14:paraId="6279A06C" w14:textId="12AAA2BB" w:rsidR="00BA19B8" w:rsidRDefault="00D3559B" w:rsidP="00D3559B">
      <w:pPr>
        <w:spacing w:before="240" w:after="0" w:line="240" w:lineRule="auto"/>
        <w:jc w:val="lowKashida"/>
        <w:rPr>
          <w:rFonts w:ascii="Times New Roman" w:eastAsia="Calibri" w:hAnsi="Times New Roman" w:cs="Times New Roman"/>
          <w:sz w:val="24"/>
          <w:szCs w:val="24"/>
          <w14:ligatures w14:val="standardContextual"/>
        </w:rPr>
      </w:pPr>
      <w:r w:rsidRPr="00D3559B">
        <w:rPr>
          <w:rFonts w:ascii="Times New Roman" w:eastAsia="Calibri" w:hAnsi="Times New Roman" w:cs="Times New Roman"/>
          <w:sz w:val="24"/>
          <w:szCs w:val="24"/>
          <w14:ligatures w14:val="standardContextual"/>
        </w:rPr>
        <w:t xml:space="preserve">As well, our results in concordance with Gong et al., </w:t>
      </w:r>
      <w:r w:rsidR="0055055B">
        <w:rPr>
          <w:rFonts w:ascii="Times New Roman" w:eastAsia="Calibri" w:hAnsi="Times New Roman" w:cs="Times New Roman"/>
          <w:sz w:val="24"/>
          <w:szCs w:val="24"/>
          <w14:ligatures w14:val="standardContextual"/>
        </w:rPr>
        <w:fldChar w:fldCharType="begin">
          <w:fldData xml:space="preserve">PEVuZE5vdGU+PENpdGU+PEF1dGhvcj5Hb25nPC9BdXRob3I+PFllYXI+MjAyMjwvWWVhcj48UmVj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</w:fldData>
        </w:fldChar>
      </w:r>
      <w:r w:rsidR="008F3B3E">
        <w:rPr>
          <w:rFonts w:ascii="Times New Roman" w:eastAsia="Calibri" w:hAnsi="Times New Roman" w:cs="Times New Roman"/>
          <w:sz w:val="24"/>
          <w:szCs w:val="24"/>
          <w14:ligatures w14:val="standardContextual"/>
        </w:rPr>
        <w:instrText xml:space="preserve"> ADDIN EN.CITE </w:instrText>
      </w:r>
      <w:r w:rsidR="008F3B3E">
        <w:rPr>
          <w:rFonts w:ascii="Times New Roman" w:eastAsia="Calibri" w:hAnsi="Times New Roman" w:cs="Times New Roman"/>
          <w:sz w:val="24"/>
          <w:szCs w:val="24"/>
          <w14:ligatures w14:val="standardContextual"/>
        </w:rPr>
        <w:fldChar w:fldCharType="begin">
          <w:fldData xml:space="preserve">PEVuZE5vdGU+PENpdGU+PEF1dGhvcj5Hb25nPC9BdXRob3I+PFllYXI+MjAyMjwvWWVhcj48UmVj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</w:fldData>
        </w:fldChar>
      </w:r>
      <w:r w:rsidR="008F3B3E">
        <w:rPr>
          <w:rFonts w:ascii="Times New Roman" w:eastAsia="Calibri" w:hAnsi="Times New Roman" w:cs="Times New Roman"/>
          <w:sz w:val="24"/>
          <w:szCs w:val="24"/>
          <w14:ligatures w14:val="standardContextual"/>
        </w:rPr>
        <w:instrText xml:space="preserve"> ADDIN EN.CITE.DATA </w:instrText>
      </w:r>
      <w:r w:rsidR="008F3B3E">
        <w:rPr>
          <w:rFonts w:ascii="Times New Roman" w:eastAsia="Calibri" w:hAnsi="Times New Roman" w:cs="Times New Roman"/>
          <w:sz w:val="24"/>
          <w:szCs w:val="24"/>
          <w14:ligatures w14:val="standardContextual"/>
        </w:rPr>
      </w:r>
      <w:r w:rsidR="008F3B3E">
        <w:rPr>
          <w:rFonts w:ascii="Times New Roman" w:eastAsia="Calibri" w:hAnsi="Times New Roman" w:cs="Times New Roman"/>
          <w:sz w:val="24"/>
          <w:szCs w:val="24"/>
          <w14:ligatures w14:val="standardContextual"/>
        </w:rPr>
        <w:fldChar w:fldCharType="end"/>
      </w:r>
      <w:r w:rsidR="0055055B">
        <w:rPr>
          <w:rFonts w:ascii="Times New Roman" w:eastAsia="Calibri" w:hAnsi="Times New Roman" w:cs="Times New Roman"/>
          <w:sz w:val="24"/>
          <w:szCs w:val="24"/>
          <w14:ligatures w14:val="standardContextual"/>
        </w:rPr>
        <w:fldChar w:fldCharType="separate"/>
      </w:r>
      <w:r w:rsidR="000E12C8">
        <w:rPr>
          <w:rFonts w:ascii="Times New Roman" w:eastAsia="Calibri" w:hAnsi="Times New Roman" w:cs="Times New Roman"/>
          <w:noProof/>
          <w:sz w:val="24"/>
          <w:szCs w:val="24"/>
          <w14:ligatures w14:val="standardContextual"/>
        </w:rPr>
        <w:t>(8)</w:t>
      </w:r>
      <w:r w:rsidR="0055055B">
        <w:rPr>
          <w:rFonts w:ascii="Times New Roman" w:eastAsia="Calibri" w:hAnsi="Times New Roman" w:cs="Times New Roman"/>
          <w:sz w:val="24"/>
          <w:szCs w:val="24"/>
          <w14:ligatures w14:val="standardContextual"/>
        </w:rPr>
        <w:fldChar w:fldCharType="end"/>
      </w:r>
      <w:r w:rsidR="0055055B">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found that high PLR was associated with lymph node metastasis</w:t>
      </w:r>
      <w:r w:rsidR="008F3B3E">
        <w:rPr>
          <w:rFonts w:ascii="Times New Roman" w:eastAsia="Calibri" w:hAnsi="Times New Roman" w:cs="Times New Roman"/>
          <w:sz w:val="24"/>
          <w:szCs w:val="24"/>
          <w14:ligatures w14:val="standardContextual"/>
        </w:rPr>
        <w:t xml:space="preserve"> </w:t>
      </w:r>
      <w:r w:rsidRPr="00D3559B">
        <w:rPr>
          <w:rFonts w:ascii="Times New Roman" w:eastAsia="Calibri" w:hAnsi="Times New Roman" w:cs="Times New Roman"/>
          <w:sz w:val="24"/>
          <w:szCs w:val="24"/>
          <w14:ligatures w14:val="standardContextual"/>
        </w:rPr>
        <w:t>(OR = 1.82; 95% CI 1.32, 2.52; P &lt; 0.001), advanced TNM stage (OR = 1.89; 95% CI 1.25, 2.87; P = 0.003), and distant metastasis (OR = 1.76; 95% CI 1.14, 2.72; P = 0.01) in breast cancer.</w:t>
      </w:r>
    </w:p>
    <w:p w14:paraId="7D9FDF40" w14:textId="5766A263" w:rsidR="00706850" w:rsidRPr="00706850" w:rsidRDefault="00706850" w:rsidP="00706850">
      <w:pPr>
        <w:spacing w:before="240" w:after="0" w:line="240" w:lineRule="auto"/>
        <w:jc w:val="lowKashida"/>
        <w:rPr>
          <w:rFonts w:ascii="Times New Roman" w:eastAsia="Calibri" w:hAnsi="Times New Roman" w:cs="Times New Roman"/>
          <w:sz w:val="24"/>
          <w:szCs w:val="24"/>
          <w14:ligatures w14:val="standardContextual"/>
        </w:rPr>
      </w:pPr>
      <w:r>
        <w:rPr>
          <w:rFonts w:ascii="Times New Roman" w:eastAsia="Calibri" w:hAnsi="Times New Roman" w:cs="Times New Roman"/>
          <w:sz w:val="24"/>
          <w:szCs w:val="24"/>
          <w14:ligatures w14:val="standardContextual"/>
        </w:rPr>
        <w:t xml:space="preserve">The limitations of the study were that this </w:t>
      </w:r>
      <w:r w:rsidRPr="00706850">
        <w:rPr>
          <w:rFonts w:ascii="Times New Roman" w:eastAsia="Calibri" w:hAnsi="Times New Roman" w:cs="Times New Roman"/>
          <w:sz w:val="24"/>
          <w:szCs w:val="24"/>
          <w14:ligatures w14:val="standardContextual"/>
        </w:rPr>
        <w:t>study was limited by its cross-sectional design, which does not allow assessment of long-term outcomes such as overall survival or disease-free survival</w:t>
      </w:r>
      <w:r w:rsidRPr="00706850">
        <w:rPr>
          <w:rFonts w:ascii="Times New Roman" w:eastAsia="Calibri" w:hAnsi="Times New Roman" w:cs="Times New Roman"/>
          <w:sz w:val="24"/>
          <w:szCs w:val="24"/>
          <w14:ligatures w14:val="standardContextual"/>
        </w:rPr>
        <w:t>, t</w:t>
      </w:r>
      <w:r w:rsidRPr="00706850">
        <w:rPr>
          <w:rFonts w:ascii="Times New Roman" w:eastAsia="Calibri" w:hAnsi="Times New Roman" w:cs="Times New Roman"/>
          <w:sz w:val="24"/>
          <w:szCs w:val="24"/>
          <w14:ligatures w14:val="standardContextual"/>
        </w:rPr>
        <w:t>he sample size was relatively small and conducted at a single center, which may limit the generalizability of the results</w:t>
      </w:r>
      <w:r w:rsidRPr="00706850">
        <w:rPr>
          <w:rFonts w:ascii="Times New Roman" w:eastAsia="Calibri" w:hAnsi="Times New Roman" w:cs="Times New Roman"/>
          <w:sz w:val="24"/>
          <w:szCs w:val="24"/>
          <w14:ligatures w14:val="standardContextual"/>
        </w:rPr>
        <w:t xml:space="preserve"> and</w:t>
      </w:r>
      <w:r w:rsidRPr="00706850">
        <w:rPr>
          <w:rFonts w:ascii="Times New Roman" w:eastAsia="Calibri" w:hAnsi="Times New Roman" w:cs="Times New Roman"/>
          <w:sz w:val="24"/>
          <w:szCs w:val="24"/>
          <w14:ligatures w14:val="standardContextual"/>
        </w:rPr>
        <w:t xml:space="preserve"> PLR was measured at a single time point, without accounting for changes over time or after treatment</w:t>
      </w:r>
      <w:r w:rsidRPr="00706850">
        <w:rPr>
          <w:rFonts w:ascii="Times New Roman" w:eastAsia="Calibri" w:hAnsi="Times New Roman" w:cs="Times New Roman"/>
          <w:sz w:val="24"/>
          <w:szCs w:val="24"/>
          <w14:ligatures w14:val="standardContextual"/>
        </w:rPr>
        <w:t>.</w:t>
      </w:r>
    </w:p>
    <w:p w14:paraId="2CB117C2" w14:textId="77777777" w:rsidR="00DF534F" w:rsidRPr="00706850" w:rsidRDefault="009402F1" w:rsidP="00ED1E3C">
      <w:pPr>
        <w:spacing w:before="240" w:after="0" w:line="240" w:lineRule="auto"/>
        <w:rPr>
          <w:rFonts w:asciiTheme="majorBidi" w:hAnsiTheme="majorBidi" w:cstheme="majorBidi"/>
          <w:b/>
          <w:bCs/>
          <w:sz w:val="24"/>
          <w:szCs w:val="24"/>
          <w:u w:val="single"/>
        </w:rPr>
      </w:pPr>
      <w:r w:rsidRPr="00706850">
        <w:rPr>
          <w:rFonts w:asciiTheme="majorBidi" w:hAnsiTheme="majorBidi" w:cstheme="majorBidi"/>
          <w:b/>
          <w:bCs/>
          <w:sz w:val="24"/>
          <w:szCs w:val="24"/>
          <w:u w:val="single"/>
        </w:rPr>
        <w:t>Conclusion</w:t>
      </w:r>
    </w:p>
    <w:p w14:paraId="340B0523" w14:textId="29D0A3BE" w:rsidR="00DE76C6" w:rsidRDefault="00706850" w:rsidP="00ED1E3C">
      <w:pPr>
        <w:spacing w:before="240" w:after="0" w:line="240" w:lineRule="auto"/>
        <w:jc w:val="lowKashida"/>
        <w:rPr>
          <w:rFonts w:asciiTheme="majorBidi" w:hAnsiTheme="majorBidi" w:cstheme="majorBidi"/>
          <w:sz w:val="24"/>
          <w:szCs w:val="24"/>
        </w:rPr>
      </w:pPr>
      <w:r w:rsidRPr="00706850">
        <w:rPr>
          <w:rFonts w:asciiTheme="majorBidi" w:hAnsiTheme="majorBidi" w:cstheme="majorBidi"/>
          <w:sz w:val="24"/>
          <w:szCs w:val="24"/>
        </w:rPr>
        <w:t>PLR is a valuable prognostic and predictive marker in patients with early breast cancer. A high PLR (&gt;150) was significantly associated with more aggressive tumor characteristics, including higher tumor size and stage, increased Ki67 expression, HER2 positivity, and a greater incidence of distant metastases. Additionally, patients with high PLR were more likely to have unfavorable molecular subtypes, such as HER2-enriched and basal-like tumors, and showed lower expression of hormone receptors (ER and PR). These findings suggest that PLR reflects the systemic inflammatory response and may play a role in breast cancer progression. Given its simplicity, cost-effectiveness, and accessibility, PLR could serve as a useful tool in routine clinical practice for risk stratification and tailoring treatment strategies in patients with early breast cancer.</w:t>
      </w:r>
    </w:p>
    <w:p w14:paraId="27A94469" w14:textId="183A00B2" w:rsidR="00706850" w:rsidRPr="00310A98" w:rsidRDefault="00706850" w:rsidP="00706850">
      <w:pPr>
        <w:spacing w:before="240" w:after="0" w:line="240" w:lineRule="auto"/>
        <w:jc w:val="lowKashida"/>
        <w:rPr>
          <w:rFonts w:asciiTheme="majorBidi" w:hAnsiTheme="majorBidi" w:cstheme="majorBidi"/>
          <w:sz w:val="24"/>
          <w:szCs w:val="24"/>
        </w:rPr>
      </w:pPr>
      <w:r>
        <w:rPr>
          <w:rFonts w:asciiTheme="majorBidi" w:hAnsiTheme="majorBidi" w:cstheme="majorBidi"/>
          <w:sz w:val="24"/>
          <w:szCs w:val="24"/>
        </w:rPr>
        <w:t xml:space="preserve">Therefore, </w:t>
      </w:r>
      <w:r w:rsidRPr="00706850">
        <w:rPr>
          <w:rFonts w:asciiTheme="majorBidi" w:hAnsiTheme="majorBidi" w:cstheme="majorBidi"/>
          <w:sz w:val="24"/>
          <w:szCs w:val="24"/>
        </w:rPr>
        <w:t>PLR should be considered as a routine, cost-effective marker to help assess prognosis in early breast cancer patients</w:t>
      </w:r>
      <w:r>
        <w:rPr>
          <w:rFonts w:asciiTheme="majorBidi" w:hAnsiTheme="majorBidi" w:cstheme="majorBidi"/>
          <w:sz w:val="24"/>
          <w:szCs w:val="24"/>
        </w:rPr>
        <w:t>, l</w:t>
      </w:r>
      <w:r w:rsidRPr="00706850">
        <w:rPr>
          <w:rFonts w:asciiTheme="majorBidi" w:hAnsiTheme="majorBidi" w:cstheme="majorBidi"/>
          <w:sz w:val="24"/>
          <w:szCs w:val="24"/>
        </w:rPr>
        <w:t>arger multicenter studies with longer follow-up periods are recommended to confirm these findings and evaluate the association between PLR and long-term outcomes such as disease-free and overall survival</w:t>
      </w:r>
      <w:r>
        <w:rPr>
          <w:rFonts w:asciiTheme="majorBidi" w:hAnsiTheme="majorBidi" w:cstheme="majorBidi"/>
          <w:sz w:val="24"/>
          <w:szCs w:val="24"/>
        </w:rPr>
        <w:t xml:space="preserve"> and f</w:t>
      </w:r>
      <w:r w:rsidRPr="00706850">
        <w:rPr>
          <w:rFonts w:asciiTheme="majorBidi" w:hAnsiTheme="majorBidi" w:cstheme="majorBidi"/>
          <w:sz w:val="24"/>
          <w:szCs w:val="24"/>
        </w:rPr>
        <w:t xml:space="preserve">uture research should explore the integration of PLR with other clinical and pathological markers to </w:t>
      </w:r>
      <w:r w:rsidRPr="00310A98">
        <w:rPr>
          <w:rFonts w:asciiTheme="majorBidi" w:hAnsiTheme="majorBidi" w:cstheme="majorBidi"/>
          <w:sz w:val="24"/>
          <w:szCs w:val="24"/>
        </w:rPr>
        <w:t>improve risk stratification and treatment planning in breast cancer.</w:t>
      </w:r>
    </w:p>
    <w:p w14:paraId="2EBB331C" w14:textId="3B0B1AAC" w:rsidR="00804E8D" w:rsidRPr="00310A98" w:rsidRDefault="00804E8D" w:rsidP="00ED1E3C">
      <w:pPr>
        <w:spacing w:before="240" w:after="0" w:line="240" w:lineRule="auto"/>
        <w:jc w:val="lowKashida"/>
        <w:rPr>
          <w:rFonts w:asciiTheme="majorBidi" w:hAnsiTheme="majorBidi" w:cstheme="majorBidi"/>
          <w:b/>
          <w:sz w:val="24"/>
          <w:szCs w:val="24"/>
        </w:rPr>
      </w:pPr>
      <w:r w:rsidRPr="00310A98">
        <w:rPr>
          <w:rFonts w:asciiTheme="majorBidi" w:hAnsiTheme="majorBidi" w:cstheme="majorBidi"/>
          <w:b/>
          <w:sz w:val="24"/>
          <w:szCs w:val="24"/>
          <w:u w:val="single"/>
        </w:rPr>
        <w:t>Sources of funding</w:t>
      </w:r>
    </w:p>
    <w:p w14:paraId="5EA48A8B" w14:textId="77777777" w:rsidR="00804E8D" w:rsidRPr="00310A98" w:rsidRDefault="00804E8D" w:rsidP="00ED1E3C">
      <w:pPr>
        <w:spacing w:before="240" w:after="0" w:line="240" w:lineRule="auto"/>
        <w:jc w:val="lowKashida"/>
        <w:rPr>
          <w:rFonts w:asciiTheme="majorBidi" w:hAnsiTheme="majorBidi" w:cstheme="majorBidi"/>
          <w:sz w:val="24"/>
          <w:szCs w:val="24"/>
        </w:rPr>
      </w:pPr>
      <w:r w:rsidRPr="00310A98">
        <w:rPr>
          <w:rFonts w:asciiTheme="majorBidi" w:hAnsiTheme="majorBidi" w:cstheme="majorBidi"/>
          <w:sz w:val="24"/>
          <w:szCs w:val="24"/>
        </w:rPr>
        <w:t>This research did not receive any specific grant from funding agencies in the public, commercial, or not-for-profit sectors.</w:t>
      </w:r>
    </w:p>
    <w:p w14:paraId="1D080BC0" w14:textId="77777777" w:rsidR="00804E8D" w:rsidRPr="00310A98" w:rsidRDefault="00804E8D" w:rsidP="00ED1E3C">
      <w:pPr>
        <w:spacing w:before="240" w:after="0" w:line="240" w:lineRule="auto"/>
        <w:jc w:val="lowKashida"/>
        <w:rPr>
          <w:rFonts w:asciiTheme="majorBidi" w:hAnsiTheme="majorBidi" w:cstheme="majorBidi"/>
          <w:b/>
          <w:sz w:val="24"/>
          <w:szCs w:val="24"/>
        </w:rPr>
      </w:pPr>
      <w:r w:rsidRPr="00310A98">
        <w:rPr>
          <w:rFonts w:asciiTheme="majorBidi" w:hAnsiTheme="majorBidi" w:cstheme="majorBidi"/>
          <w:b/>
          <w:sz w:val="24"/>
          <w:szCs w:val="24"/>
          <w:u w:val="single"/>
        </w:rPr>
        <w:t>Conflicts of interest</w:t>
      </w:r>
    </w:p>
    <w:p w14:paraId="58B77873" w14:textId="77777777" w:rsidR="00804E8D" w:rsidRPr="00310A98" w:rsidRDefault="00804E8D" w:rsidP="00ED1E3C">
      <w:pPr>
        <w:spacing w:before="240" w:after="0" w:line="240" w:lineRule="auto"/>
        <w:jc w:val="lowKashida"/>
        <w:rPr>
          <w:rFonts w:asciiTheme="majorBidi" w:hAnsiTheme="majorBidi" w:cstheme="majorBidi"/>
          <w:sz w:val="24"/>
          <w:szCs w:val="24"/>
        </w:rPr>
      </w:pPr>
      <w:r w:rsidRPr="00310A98">
        <w:rPr>
          <w:rFonts w:asciiTheme="majorBidi" w:hAnsiTheme="majorBidi" w:cstheme="majorBidi"/>
          <w:sz w:val="24"/>
          <w:szCs w:val="24"/>
        </w:rPr>
        <w:t>No conflicts of interest</w:t>
      </w:r>
    </w:p>
    <w:p w14:paraId="1194BA5B" w14:textId="77777777" w:rsidR="009402F1" w:rsidRPr="00310A98" w:rsidRDefault="009402F1" w:rsidP="004A5871">
      <w:pPr>
        <w:spacing w:before="240" w:line="240" w:lineRule="auto"/>
        <w:rPr>
          <w:rFonts w:asciiTheme="majorBidi" w:hAnsiTheme="majorBidi" w:cstheme="majorBidi"/>
          <w:b/>
          <w:bCs/>
          <w:sz w:val="24"/>
          <w:szCs w:val="24"/>
          <w:u w:val="single"/>
        </w:rPr>
      </w:pPr>
      <w:r w:rsidRPr="00310A98">
        <w:rPr>
          <w:rFonts w:asciiTheme="majorBidi" w:hAnsiTheme="majorBidi" w:cstheme="majorBidi"/>
          <w:b/>
          <w:bCs/>
          <w:sz w:val="24"/>
          <w:szCs w:val="24"/>
          <w:u w:val="single"/>
        </w:rPr>
        <w:t xml:space="preserve">References </w:t>
      </w:r>
    </w:p>
    <w:p w14:paraId="3A671C13" w14:textId="77777777" w:rsidR="008F3B3E" w:rsidRPr="008F3B3E" w:rsidRDefault="000245C3" w:rsidP="008F3B3E">
      <w:pPr>
        <w:pStyle w:val="EndNoteBibliography"/>
        <w:spacing w:after="0"/>
        <w:jc w:val="both"/>
      </w:pPr>
      <w:r w:rsidRPr="00DF16A5">
        <w:rPr>
          <w:szCs w:val="24"/>
          <w:highlight w:val="yellow"/>
        </w:rPr>
        <w:lastRenderedPageBreak/>
        <w:fldChar w:fldCharType="begin"/>
      </w:r>
      <w:r w:rsidRPr="00DF16A5">
        <w:rPr>
          <w:szCs w:val="24"/>
          <w:highlight w:val="yellow"/>
        </w:rPr>
        <w:instrText xml:space="preserve"> ADDIN EN.REFLIST </w:instrText>
      </w:r>
      <w:r w:rsidRPr="00DF16A5">
        <w:rPr>
          <w:szCs w:val="24"/>
          <w:highlight w:val="yellow"/>
        </w:rPr>
        <w:fldChar w:fldCharType="separate"/>
      </w:r>
      <w:r w:rsidR="008F3B3E" w:rsidRPr="008F3B3E">
        <w:t>1. Sung H, Ferlay J, Siegel RL, Laversanne M, Soerjomataram I, Jemal A, et al. Global Cancer Statistics 2020: GLOBOCAN Estimates of Incidence and Mortality Worldwide for 36 Cancers in 185 Countries. CA Cancer J Clin. 2021;71:209-49.</w:t>
      </w:r>
    </w:p>
    <w:p w14:paraId="155E2F0F" w14:textId="77777777" w:rsidR="008F3B3E" w:rsidRPr="008F3B3E" w:rsidRDefault="008F3B3E" w:rsidP="008F3B3E">
      <w:pPr>
        <w:pStyle w:val="EndNoteBibliography"/>
        <w:spacing w:after="0"/>
        <w:jc w:val="both"/>
      </w:pPr>
      <w:r w:rsidRPr="008F3B3E">
        <w:t>2. Piñeros M, Mery L, Soerjomataram I, Bray F, Steliarova-Foucher E. Scaling up the surveillance of childhood cancer: a global roadmap. Jof the National Cancer Institute. 2021;113:9-15.</w:t>
      </w:r>
    </w:p>
    <w:p w14:paraId="4DAE6CEA" w14:textId="77777777" w:rsidR="008F3B3E" w:rsidRPr="008F3B3E" w:rsidRDefault="008F3B3E" w:rsidP="008F3B3E">
      <w:pPr>
        <w:pStyle w:val="EndNoteBibliography"/>
        <w:spacing w:after="0"/>
        <w:jc w:val="both"/>
      </w:pPr>
      <w:r w:rsidRPr="008F3B3E">
        <w:t>3. Wellenstein MD, Coffelt SB, Duits DEM, van Miltenburg MH, Slagter M, de Rink I, et al. Loss of p53 triggers WNT-dependent systemic inflammation to drive breast cancer metastasis. Nature. 2019;572:538-42.</w:t>
      </w:r>
    </w:p>
    <w:p w14:paraId="5FFA9CFA" w14:textId="77777777" w:rsidR="008F3B3E" w:rsidRPr="008F3B3E" w:rsidRDefault="008F3B3E" w:rsidP="008F3B3E">
      <w:pPr>
        <w:pStyle w:val="EndNoteBibliography"/>
        <w:spacing w:after="0"/>
        <w:jc w:val="both"/>
      </w:pPr>
      <w:r w:rsidRPr="008F3B3E">
        <w:t>4. Wang X, Hui TL, Wang MQ, Liu H, Li RY, Song ZC. Body Mass Index at Diagnosis as a Prognostic Factor for Early-Stage Invasive Breast Cancer after Surgical Resection. Oncol Res Treat. 2019;42:195-9.</w:t>
      </w:r>
    </w:p>
    <w:p w14:paraId="78D9FD01" w14:textId="77777777" w:rsidR="008F3B3E" w:rsidRPr="008F3B3E" w:rsidRDefault="008F3B3E" w:rsidP="008F3B3E">
      <w:pPr>
        <w:pStyle w:val="EndNoteBibliography"/>
        <w:spacing w:after="0"/>
        <w:jc w:val="both"/>
      </w:pPr>
      <w:r w:rsidRPr="008F3B3E">
        <w:t>5. Romero-Cordoba S, Meneghini E, Sant M, Iorio MV, Sfondrini L, Paolini B, et al. Decoding Immune Heterogeneity of Triple Negative Breast Cancer and Its Association with Systemic Inflammation. Cancers (Basel). 2019;11:13-7.</w:t>
      </w:r>
    </w:p>
    <w:p w14:paraId="77F6E56C" w14:textId="77777777" w:rsidR="008F3B3E" w:rsidRPr="008F3B3E" w:rsidRDefault="008F3B3E" w:rsidP="008F3B3E">
      <w:pPr>
        <w:pStyle w:val="EndNoteBibliography"/>
        <w:spacing w:after="0"/>
        <w:jc w:val="both"/>
      </w:pPr>
      <w:r w:rsidRPr="008F3B3E">
        <w:t>6. Cho U, Park HS, Im SY, Yoo CY, Jung JH, Suh YJ, et al. Prognostic value of systemic inflammatory markers and development of a nomogram in breast cancer. PLoS One. 2018;13:22-44.</w:t>
      </w:r>
    </w:p>
    <w:p w14:paraId="694E9079" w14:textId="77777777" w:rsidR="008F3B3E" w:rsidRPr="008F3B3E" w:rsidRDefault="008F3B3E" w:rsidP="008F3B3E">
      <w:pPr>
        <w:pStyle w:val="EndNoteBibliography"/>
        <w:spacing w:after="0"/>
        <w:jc w:val="both"/>
      </w:pPr>
      <w:r w:rsidRPr="008F3B3E">
        <w:t>7. Khanna D, Peltzer C, Kahar P, Parmar MS. Body Mass Index (BMI): A Screening Tool Analysis. Cureus. 2022;14:22-9.</w:t>
      </w:r>
    </w:p>
    <w:p w14:paraId="4B5C22A7" w14:textId="77777777" w:rsidR="008F3B3E" w:rsidRPr="008F3B3E" w:rsidRDefault="008F3B3E" w:rsidP="008F3B3E">
      <w:pPr>
        <w:pStyle w:val="EndNoteBibliography"/>
        <w:spacing w:after="0"/>
        <w:jc w:val="both"/>
      </w:pPr>
      <w:r w:rsidRPr="008F3B3E">
        <w:t>8. Gong Z, Xin R, Li L, Lv L, Wu X. Platelet-to-lymphocyte ratio associated with the clinicopathological features and prognostic value of breast cancer: A meta-analysis. Int J Biol Markers. 2022;37:339-48.</w:t>
      </w:r>
    </w:p>
    <w:p w14:paraId="50E652DE" w14:textId="77777777" w:rsidR="008F3B3E" w:rsidRPr="008F3B3E" w:rsidRDefault="008F3B3E" w:rsidP="008F3B3E">
      <w:pPr>
        <w:pStyle w:val="EndNoteBibliography"/>
        <w:spacing w:after="0"/>
        <w:jc w:val="both"/>
      </w:pPr>
      <w:r w:rsidRPr="008F3B3E">
        <w:t>9. Dan J, Tan J, Huang J, Yuan Z, Guo Y. Early changes of platelet‑lymphocyte ratio correlate with neoadjuvant chemotherapy response and predict pathological complete response in breast cancer. Molecular and Clinical Oncology. 2023;19:90-8.</w:t>
      </w:r>
    </w:p>
    <w:p w14:paraId="10085CD8" w14:textId="77777777" w:rsidR="008F3B3E" w:rsidRPr="008F3B3E" w:rsidRDefault="008F3B3E" w:rsidP="008F3B3E">
      <w:pPr>
        <w:pStyle w:val="EndNoteBibliography"/>
        <w:spacing w:after="0"/>
        <w:jc w:val="both"/>
      </w:pPr>
      <w:r w:rsidRPr="008F3B3E">
        <w:t>10. Ayan G, Mіsіllі T, Buldur M. Home-use agents in the treatment of dentin hypersensitivity: clinical effectiveness evaluation with different measurement methods. Clin Oral Investig. 2025;29:63-90.</w:t>
      </w:r>
    </w:p>
    <w:p w14:paraId="5D1EED9B" w14:textId="77777777" w:rsidR="008F3B3E" w:rsidRPr="008F3B3E" w:rsidRDefault="008F3B3E" w:rsidP="008F3B3E">
      <w:pPr>
        <w:pStyle w:val="EndNoteBibliography"/>
        <w:spacing w:after="0"/>
        <w:jc w:val="both"/>
      </w:pPr>
      <w:r w:rsidRPr="008F3B3E">
        <w:t>11. Ma R, Wei W, Ye H, Dang C, Li K, Yuan D. A nomogram based on platelet-to-lymphocyte ratio for predicting pathological complete response of breast cancer after neoadjuvant chemotherapy. BMC Cancer. 2023;23:245-76.</w:t>
      </w:r>
    </w:p>
    <w:p w14:paraId="33FE4B46" w14:textId="77777777" w:rsidR="008F3B3E" w:rsidRPr="008F3B3E" w:rsidRDefault="008F3B3E" w:rsidP="008F3B3E">
      <w:pPr>
        <w:pStyle w:val="EndNoteBibliography"/>
        <w:spacing w:after="0"/>
        <w:jc w:val="both"/>
      </w:pPr>
      <w:r w:rsidRPr="008F3B3E">
        <w:t>12. Wang H, Yu J, Shen W, Zhao H, Cui J, Gao B. The ratio of lymphocyte/red blood cells and platelets/lymphocytes are predictive biomarkers for lymph node metastasis in patients with breast cancer. Cancer Biomark. 2023;38:595-9.</w:t>
      </w:r>
    </w:p>
    <w:p w14:paraId="76ED70BC" w14:textId="77777777" w:rsidR="008F3B3E" w:rsidRPr="008F3B3E" w:rsidRDefault="008F3B3E" w:rsidP="008F3B3E">
      <w:pPr>
        <w:pStyle w:val="EndNoteBibliography"/>
        <w:spacing w:after="0"/>
        <w:jc w:val="both"/>
      </w:pPr>
      <w:r w:rsidRPr="008F3B3E">
        <w:t>13. Krenn-Pilko S, Langsenlehner U, Thurner EM, Stojakovic T, Pichler M, Gerger A, et al. The elevated preoperative platelet-to-lymphocyte ratio predicts poor prognosis in breast cancer patients. Br J Cancer. 2014;110:24-30.</w:t>
      </w:r>
    </w:p>
    <w:p w14:paraId="66CE2B85" w14:textId="77777777" w:rsidR="008F3B3E" w:rsidRPr="008F3B3E" w:rsidRDefault="008F3B3E" w:rsidP="008F3B3E">
      <w:pPr>
        <w:pStyle w:val="EndNoteBibliography"/>
        <w:spacing w:after="0"/>
        <w:jc w:val="both"/>
      </w:pPr>
      <w:r w:rsidRPr="008F3B3E">
        <w:t>14. Lu Q, Qin T, Xu F, Zeng Y, Xia W, Zheng Q, et al. Clinical implication of platelet-lymphocyte ratio and PD-L1 in breast cancer patients. Transl Cancer Res. 2018;7:659-67.</w:t>
      </w:r>
    </w:p>
    <w:p w14:paraId="276C5DAC" w14:textId="77777777" w:rsidR="008F3B3E" w:rsidRPr="008F3B3E" w:rsidRDefault="008F3B3E" w:rsidP="008F3B3E">
      <w:pPr>
        <w:pStyle w:val="EndNoteBibliography"/>
        <w:spacing w:after="0"/>
        <w:jc w:val="both"/>
      </w:pPr>
      <w:r w:rsidRPr="008F3B3E">
        <w:t>15. Huszno J, Kołosza Z, Mrochem-Kwarciak J, Telka E, Jochymek B, Miszczyk L. Role of neutrophil-lymphocyte ratio, platelet-lymphocyte ratio, lymphocyte-monocyte ratio and platelets in prognosis of patients with prostate cancer. Oncol Lett. 2022;24:305-10.</w:t>
      </w:r>
    </w:p>
    <w:p w14:paraId="6E5EBCDA" w14:textId="77777777" w:rsidR="008F3B3E" w:rsidRPr="008F3B3E" w:rsidRDefault="008F3B3E" w:rsidP="008F3B3E">
      <w:pPr>
        <w:pStyle w:val="EndNoteBibliography"/>
        <w:spacing w:after="0"/>
        <w:jc w:val="both"/>
      </w:pPr>
      <w:r w:rsidRPr="008F3B3E">
        <w:t xml:space="preserve">16. Kaytaz Tekyol K, Gurleyik G, Aktaş A, Aker F, Tanrikulu E, Tekyol D. Pathological Complete Response to Neoadjuvant Chemotherapy in Patients With Breast Cancer: The </w:t>
      </w:r>
      <w:r w:rsidRPr="008F3B3E">
        <w:lastRenderedPageBreak/>
        <w:t>Relationship Between Inflammatory Biomarkers and Molecular Subtypes. Cureus. 2021;13:14-77.</w:t>
      </w:r>
    </w:p>
    <w:p w14:paraId="37270A06" w14:textId="77777777" w:rsidR="008F3B3E" w:rsidRPr="008F3B3E" w:rsidRDefault="008F3B3E" w:rsidP="008F3B3E">
      <w:pPr>
        <w:pStyle w:val="EndNoteBibliography"/>
        <w:spacing w:after="0"/>
        <w:jc w:val="both"/>
      </w:pPr>
      <w:r w:rsidRPr="008F3B3E">
        <w:t>17. Xu J, Ni C, Ma C, Zhang L, Jing X, Li C, et al. Association of neutrophil/lymphocyte ratio and platelet/lymphocyte ratio with ER and PR in breast cancer patients and their changes after neoadjuvant chemotherapy. Clin Transl Oncol. 2017;19:41-63.</w:t>
      </w:r>
    </w:p>
    <w:p w14:paraId="0B8A5A0D" w14:textId="77777777" w:rsidR="008F3B3E" w:rsidRPr="008F3B3E" w:rsidRDefault="008F3B3E" w:rsidP="008F3B3E">
      <w:pPr>
        <w:pStyle w:val="EndNoteBibliography"/>
        <w:spacing w:after="0"/>
        <w:jc w:val="both"/>
      </w:pPr>
      <w:r w:rsidRPr="008F3B3E">
        <w:t>18. Bahgat T. Breast cancer prognostication with neutrophil–lymphocyte ratio and platelet–lymphocyte ratio. Al-Azhar Assiut Med J. 2017;15:41-80.</w:t>
      </w:r>
    </w:p>
    <w:p w14:paraId="4ACA4EB9" w14:textId="77777777" w:rsidR="008F3B3E" w:rsidRPr="008F3B3E" w:rsidRDefault="008F3B3E" w:rsidP="008F3B3E">
      <w:pPr>
        <w:pStyle w:val="EndNoteBibliography"/>
        <w:spacing w:after="0"/>
        <w:jc w:val="both"/>
      </w:pPr>
      <w:r w:rsidRPr="008F3B3E">
        <w:t>19. Asano Y, Kashiwagi S, Onoda N, Noda S, Kawajiri H, Takashima T, et al. Platelet–lymphocyte ratio as a useful predictor of the therapeutic effect of neoadjuvant chemotherapy in breast cancer. PloS one. 2016;11:15-34.</w:t>
      </w:r>
    </w:p>
    <w:p w14:paraId="2AD78634" w14:textId="77777777" w:rsidR="008F3B3E" w:rsidRPr="008F3B3E" w:rsidRDefault="008F3B3E" w:rsidP="008F3B3E">
      <w:pPr>
        <w:pStyle w:val="EndNoteBibliography"/>
        <w:jc w:val="both"/>
      </w:pPr>
      <w:r w:rsidRPr="008F3B3E">
        <w:t>20. Anwar SL, Cahyono R, Avanti WS, Budiman HY, Harahap WA, Aryandono T. Pre-treatment neutrophil-lymphocyte and platelet-lymphocyte ratios as additional markers for breast cancer progression: A retrospective cohort study. Ann Med Surg. 2021;63:10-44.</w:t>
      </w:r>
    </w:p>
    <w:p w14:paraId="7E7FC896" w14:textId="452801BD" w:rsidR="0019100B" w:rsidRPr="00DF16A5" w:rsidRDefault="000245C3" w:rsidP="008F3B3E">
      <w:pPr>
        <w:pStyle w:val="EndNoteBibliography"/>
        <w:jc w:val="both"/>
        <w:rPr>
          <w:rFonts w:eastAsia="Times New Roman"/>
          <w:highlight w:val="yellow"/>
        </w:rPr>
      </w:pPr>
      <w:r w:rsidRPr="00DF16A5">
        <w:rPr>
          <w:szCs w:val="24"/>
          <w:highlight w:val="yellow"/>
        </w:rPr>
        <w:fldChar w:fldCharType="end"/>
      </w:r>
      <w:r w:rsidR="00226407" w:rsidRPr="00DF16A5">
        <w:rPr>
          <w:highlight w:val="yellow"/>
        </w:rPr>
        <w:br w:type="page"/>
      </w:r>
    </w:p>
    <w:p w14:paraId="1B41C7C8" w14:textId="6051B1FE" w:rsidR="00DE37CF" w:rsidRPr="00DE37CF" w:rsidRDefault="00DE37CF" w:rsidP="00DE37CF">
      <w:pPr>
        <w:pStyle w:val="NoSpacing"/>
      </w:pPr>
      <w:r w:rsidRPr="00DE37CF">
        <w:lastRenderedPageBreak/>
        <w:t xml:space="preserve">Table </w:t>
      </w:r>
      <w:r w:rsidRPr="00DE37CF">
        <w:fldChar w:fldCharType="begin"/>
      </w:r>
      <w:r w:rsidRPr="00DE37CF">
        <w:instrText xml:space="preserve"> SEQ Table \* ARABIC </w:instrText>
      </w:r>
      <w:r w:rsidRPr="00DE37CF">
        <w:fldChar w:fldCharType="separate"/>
      </w:r>
      <w:r w:rsidR="00B43D54">
        <w:rPr>
          <w:noProof/>
        </w:rPr>
        <w:t>1</w:t>
      </w:r>
      <w:r w:rsidRPr="00DE37CF">
        <w:fldChar w:fldCharType="end"/>
      </w:r>
      <w:r w:rsidR="00FC039A" w:rsidRPr="00DE37CF">
        <w:t xml:space="preserve">: </w:t>
      </w:r>
      <w:r w:rsidR="00BA56AD" w:rsidRPr="00DE37CF">
        <w:t>Demographic data</w:t>
      </w:r>
      <w:r>
        <w:t>, l</w:t>
      </w:r>
      <w:r w:rsidRPr="00DE37CF">
        <w:t>aboratory finding</w:t>
      </w:r>
      <w:r>
        <w:t>, p</w:t>
      </w:r>
      <w:r w:rsidRPr="00DE37CF">
        <w:t>athology</w:t>
      </w:r>
      <w:r w:rsidR="00D3559B">
        <w:t xml:space="preserve"> and m</w:t>
      </w:r>
      <w:r w:rsidR="00D3559B" w:rsidRPr="00D3559B">
        <w:t>olecular subtypes</w:t>
      </w:r>
      <w:r w:rsidR="00BA56AD" w:rsidRPr="00DE37CF">
        <w:t xml:space="preserve"> of the studied groups regarding PLR</w:t>
      </w:r>
    </w:p>
    <w:tbl>
      <w:tblPr>
        <w:tblStyle w:val="GridTable6Colorful11"/>
        <w:tblW w:w="5000" w:type="pct"/>
        <w:tblLayout w:type="fixed"/>
        <w:tblLook w:val="04A0" w:firstRow="1" w:lastRow="0" w:firstColumn="1" w:lastColumn="0" w:noHBand="0" w:noVBand="1"/>
      </w:tblPr>
      <w:tblGrid>
        <w:gridCol w:w="1936"/>
        <w:gridCol w:w="43"/>
        <w:gridCol w:w="1402"/>
        <w:gridCol w:w="1576"/>
        <w:gridCol w:w="1491"/>
        <w:gridCol w:w="1345"/>
        <w:gridCol w:w="837"/>
      </w:tblGrid>
      <w:tr w:rsidR="00BA56AD" w:rsidRPr="00585421" w14:paraId="6EAFBCC2" w14:textId="77777777" w:rsidTr="00D3559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9" w:type="pct"/>
            <w:gridSpan w:val="3"/>
            <w:noWrap/>
            <w:vAlign w:val="center"/>
            <w:hideMark/>
          </w:tcPr>
          <w:p w14:paraId="3E1DF8F7" w14:textId="77777777" w:rsidR="00B42544" w:rsidRPr="00585421" w:rsidRDefault="00B42544" w:rsidP="00D3559B">
            <w:pPr>
              <w:jc w:val="center"/>
              <w:rPr>
                <w:rFonts w:asciiTheme="majorBidi" w:eastAsia="Times New Roman" w:hAnsiTheme="majorBidi" w:cstheme="majorBidi"/>
                <w:color w:val="auto"/>
                <w:lang w:eastAsia="en-GB"/>
              </w:rPr>
            </w:pPr>
          </w:p>
        </w:tc>
        <w:tc>
          <w:tcPr>
            <w:tcW w:w="913" w:type="pct"/>
            <w:vAlign w:val="center"/>
          </w:tcPr>
          <w:p w14:paraId="21AC789D" w14:textId="27561285" w:rsidR="00B42544" w:rsidRPr="00585421" w:rsidRDefault="00B42544"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Total (n=100)</w:t>
            </w:r>
          </w:p>
        </w:tc>
        <w:tc>
          <w:tcPr>
            <w:tcW w:w="864" w:type="pct"/>
            <w:noWrap/>
            <w:vAlign w:val="center"/>
          </w:tcPr>
          <w:p w14:paraId="4EB65678" w14:textId="09DF102B" w:rsidR="00BA56AD" w:rsidRPr="00585421" w:rsidRDefault="00B42544"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585421">
              <w:rPr>
                <w:rFonts w:asciiTheme="majorBidi" w:hAnsiTheme="majorBidi" w:cstheme="majorBidi"/>
              </w:rPr>
              <w:t>High PLR &gt;150</w:t>
            </w:r>
          </w:p>
          <w:p w14:paraId="1EE5035C" w14:textId="37F86137" w:rsidR="00B42544" w:rsidRPr="00585421" w:rsidRDefault="00B42544" w:rsidP="00D3559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lang w:eastAsia="en-GB"/>
              </w:rPr>
            </w:pPr>
            <w:r w:rsidRPr="00585421">
              <w:rPr>
                <w:rFonts w:asciiTheme="majorBidi" w:hAnsiTheme="majorBidi" w:cstheme="majorBidi"/>
              </w:rPr>
              <w:t>(n=57)</w:t>
            </w:r>
          </w:p>
        </w:tc>
        <w:tc>
          <w:tcPr>
            <w:tcW w:w="779" w:type="pct"/>
            <w:vAlign w:val="center"/>
          </w:tcPr>
          <w:p w14:paraId="52BE9BEA" w14:textId="77777777" w:rsidR="00B42544" w:rsidRPr="00585421" w:rsidRDefault="00B42544" w:rsidP="00D3559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lang w:val="pt-BR" w:eastAsia="en-GB"/>
              </w:rPr>
            </w:pPr>
            <w:r w:rsidRPr="00585421">
              <w:rPr>
                <w:rFonts w:asciiTheme="majorBidi" w:hAnsiTheme="majorBidi" w:cstheme="majorBidi"/>
              </w:rPr>
              <w:t>Low PLR &lt;150 (n=43)</w:t>
            </w:r>
          </w:p>
        </w:tc>
        <w:tc>
          <w:tcPr>
            <w:tcW w:w="485" w:type="pct"/>
            <w:noWrap/>
            <w:vAlign w:val="center"/>
            <w:hideMark/>
          </w:tcPr>
          <w:p w14:paraId="75704263" w14:textId="77777777" w:rsidR="00B42544" w:rsidRPr="00585421" w:rsidRDefault="00B42544" w:rsidP="00D3559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en-GB"/>
              </w:rPr>
            </w:pPr>
            <w:r w:rsidRPr="00585421">
              <w:rPr>
                <w:rFonts w:asciiTheme="majorBidi" w:eastAsia="Times New Roman" w:hAnsiTheme="majorBidi" w:cstheme="majorBidi"/>
                <w:lang w:eastAsia="en-GB"/>
              </w:rPr>
              <w:t>P value</w:t>
            </w:r>
          </w:p>
        </w:tc>
      </w:tr>
      <w:tr w:rsidR="00DE37CF" w:rsidRPr="00585421" w14:paraId="70605631"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noWrap/>
            <w:vAlign w:val="center"/>
          </w:tcPr>
          <w:p w14:paraId="3DBF5658" w14:textId="3D55C061" w:rsidR="00DE37CF" w:rsidRPr="00585421" w:rsidRDefault="00DE37CF" w:rsidP="00D3559B">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Demographic data</w:t>
            </w:r>
          </w:p>
        </w:tc>
      </w:tr>
      <w:tr w:rsidR="00BA56AD" w:rsidRPr="00585421" w14:paraId="3F1ABBCF"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22" w:type="pct"/>
            <w:vMerge w:val="restart"/>
            <w:noWrap/>
            <w:vAlign w:val="center"/>
            <w:hideMark/>
          </w:tcPr>
          <w:p w14:paraId="66E954C9" w14:textId="77777777" w:rsidR="00B42544" w:rsidRPr="00585421" w:rsidRDefault="00B42544"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Age (years)</w:t>
            </w:r>
          </w:p>
        </w:tc>
        <w:tc>
          <w:tcPr>
            <w:tcW w:w="837" w:type="pct"/>
            <w:gridSpan w:val="2"/>
            <w:noWrap/>
            <w:vAlign w:val="center"/>
            <w:hideMark/>
          </w:tcPr>
          <w:p w14:paraId="20669C08" w14:textId="77777777"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Mean± SD</w:t>
            </w:r>
          </w:p>
        </w:tc>
        <w:tc>
          <w:tcPr>
            <w:tcW w:w="913" w:type="pct"/>
            <w:vAlign w:val="center"/>
          </w:tcPr>
          <w:p w14:paraId="28A21254" w14:textId="0A2CE95B"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49.96± 9.13</w:t>
            </w:r>
          </w:p>
        </w:tc>
        <w:tc>
          <w:tcPr>
            <w:tcW w:w="864" w:type="pct"/>
            <w:noWrap/>
            <w:vAlign w:val="center"/>
          </w:tcPr>
          <w:p w14:paraId="1B7C9FCC" w14:textId="709BEB62"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51.26± 9.1</w:t>
            </w:r>
          </w:p>
        </w:tc>
        <w:tc>
          <w:tcPr>
            <w:tcW w:w="779" w:type="pct"/>
            <w:vAlign w:val="center"/>
          </w:tcPr>
          <w:p w14:paraId="170B1420" w14:textId="77777777"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48.23± 8.99</w:t>
            </w:r>
          </w:p>
        </w:tc>
        <w:tc>
          <w:tcPr>
            <w:tcW w:w="485" w:type="pct"/>
            <w:vMerge w:val="restart"/>
            <w:noWrap/>
            <w:vAlign w:val="center"/>
          </w:tcPr>
          <w:p w14:paraId="1F0FE040" w14:textId="77777777"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585421">
              <w:rPr>
                <w:rFonts w:asciiTheme="majorBidi" w:hAnsiTheme="majorBidi" w:cstheme="majorBidi"/>
              </w:rPr>
              <w:t>0.101</w:t>
            </w:r>
          </w:p>
        </w:tc>
      </w:tr>
      <w:tr w:rsidR="00BA56AD" w:rsidRPr="00585421" w14:paraId="0C8E47E8"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2" w:type="pct"/>
            <w:vMerge/>
            <w:noWrap/>
            <w:vAlign w:val="center"/>
            <w:hideMark/>
          </w:tcPr>
          <w:p w14:paraId="7FA3D5C1" w14:textId="77777777" w:rsidR="00B42544" w:rsidRPr="00585421" w:rsidRDefault="00B42544" w:rsidP="00D3559B">
            <w:pPr>
              <w:jc w:val="center"/>
              <w:rPr>
                <w:rFonts w:asciiTheme="majorBidi" w:eastAsia="Times New Roman" w:hAnsiTheme="majorBidi" w:cstheme="majorBidi"/>
                <w:lang w:eastAsia="en-GB"/>
              </w:rPr>
            </w:pPr>
          </w:p>
        </w:tc>
        <w:tc>
          <w:tcPr>
            <w:tcW w:w="837" w:type="pct"/>
            <w:gridSpan w:val="2"/>
            <w:noWrap/>
            <w:vAlign w:val="center"/>
            <w:hideMark/>
          </w:tcPr>
          <w:p w14:paraId="4B4C39FC" w14:textId="7777777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Range</w:t>
            </w:r>
          </w:p>
        </w:tc>
        <w:tc>
          <w:tcPr>
            <w:tcW w:w="913" w:type="pct"/>
            <w:vAlign w:val="center"/>
          </w:tcPr>
          <w:p w14:paraId="32A57338" w14:textId="7800F7A3"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32-71</w:t>
            </w:r>
          </w:p>
        </w:tc>
        <w:tc>
          <w:tcPr>
            <w:tcW w:w="864" w:type="pct"/>
            <w:noWrap/>
            <w:vAlign w:val="center"/>
          </w:tcPr>
          <w:p w14:paraId="46594F8A" w14:textId="6CA5E094"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32-71</w:t>
            </w:r>
          </w:p>
        </w:tc>
        <w:tc>
          <w:tcPr>
            <w:tcW w:w="779" w:type="pct"/>
            <w:vAlign w:val="center"/>
          </w:tcPr>
          <w:p w14:paraId="6B4D368C" w14:textId="7777777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37-71</w:t>
            </w:r>
          </w:p>
        </w:tc>
        <w:tc>
          <w:tcPr>
            <w:tcW w:w="485" w:type="pct"/>
            <w:vMerge/>
            <w:noWrap/>
            <w:vAlign w:val="center"/>
          </w:tcPr>
          <w:p w14:paraId="0C329BC3" w14:textId="7777777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GB"/>
              </w:rPr>
            </w:pPr>
          </w:p>
        </w:tc>
      </w:tr>
      <w:tr w:rsidR="00BA56AD" w:rsidRPr="00585421" w14:paraId="189BBD1B"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22" w:type="pct"/>
            <w:vMerge w:val="restart"/>
            <w:noWrap/>
            <w:vAlign w:val="center"/>
          </w:tcPr>
          <w:p w14:paraId="49694E5F" w14:textId="77777777" w:rsidR="00B42544" w:rsidRPr="00585421" w:rsidRDefault="00B42544"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Residence</w:t>
            </w:r>
          </w:p>
        </w:tc>
        <w:tc>
          <w:tcPr>
            <w:tcW w:w="837" w:type="pct"/>
            <w:gridSpan w:val="2"/>
            <w:noWrap/>
            <w:vAlign w:val="center"/>
          </w:tcPr>
          <w:p w14:paraId="67F06A1A" w14:textId="77777777"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hAnsiTheme="majorBidi" w:cstheme="majorBidi"/>
                <w:b/>
                <w:bCs/>
              </w:rPr>
              <w:t>Urban</w:t>
            </w:r>
          </w:p>
        </w:tc>
        <w:tc>
          <w:tcPr>
            <w:tcW w:w="913" w:type="pct"/>
            <w:vAlign w:val="center"/>
          </w:tcPr>
          <w:p w14:paraId="4F7D315E" w14:textId="2F06F2AA"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50 (50%)</w:t>
            </w:r>
          </w:p>
        </w:tc>
        <w:tc>
          <w:tcPr>
            <w:tcW w:w="864" w:type="pct"/>
            <w:noWrap/>
            <w:vAlign w:val="center"/>
          </w:tcPr>
          <w:p w14:paraId="0D234E40" w14:textId="10420317"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en-GB"/>
              </w:rPr>
            </w:pPr>
            <w:r w:rsidRPr="00585421">
              <w:rPr>
                <w:rFonts w:asciiTheme="majorBidi" w:hAnsiTheme="majorBidi" w:cstheme="majorBidi"/>
              </w:rPr>
              <w:t>28 (49.12%)</w:t>
            </w:r>
          </w:p>
        </w:tc>
        <w:tc>
          <w:tcPr>
            <w:tcW w:w="779" w:type="pct"/>
            <w:vAlign w:val="center"/>
          </w:tcPr>
          <w:p w14:paraId="1E7DA8D2" w14:textId="77777777"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lang w:eastAsia="en-GB"/>
              </w:rPr>
            </w:pPr>
            <w:r w:rsidRPr="00585421">
              <w:rPr>
                <w:rFonts w:asciiTheme="majorBidi" w:hAnsiTheme="majorBidi" w:cstheme="majorBidi"/>
              </w:rPr>
              <w:t>22 (51.16%)</w:t>
            </w:r>
          </w:p>
        </w:tc>
        <w:tc>
          <w:tcPr>
            <w:tcW w:w="485" w:type="pct"/>
            <w:vMerge w:val="restart"/>
            <w:noWrap/>
            <w:vAlign w:val="center"/>
          </w:tcPr>
          <w:p w14:paraId="55C24346" w14:textId="77777777"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585421">
              <w:rPr>
                <w:rFonts w:asciiTheme="majorBidi" w:hAnsiTheme="majorBidi" w:cstheme="majorBidi"/>
              </w:rPr>
              <w:t>0.839</w:t>
            </w:r>
          </w:p>
        </w:tc>
      </w:tr>
      <w:tr w:rsidR="00BA56AD" w:rsidRPr="00585421" w14:paraId="4884BB91"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2" w:type="pct"/>
            <w:vMerge/>
            <w:noWrap/>
            <w:vAlign w:val="center"/>
          </w:tcPr>
          <w:p w14:paraId="29B28522" w14:textId="77777777" w:rsidR="00B42544" w:rsidRPr="00585421" w:rsidRDefault="00B42544" w:rsidP="00D3559B">
            <w:pPr>
              <w:jc w:val="center"/>
              <w:rPr>
                <w:rFonts w:asciiTheme="majorBidi" w:eastAsia="Times New Roman" w:hAnsiTheme="majorBidi" w:cstheme="majorBidi"/>
                <w:lang w:eastAsia="en-GB"/>
              </w:rPr>
            </w:pPr>
          </w:p>
        </w:tc>
        <w:tc>
          <w:tcPr>
            <w:tcW w:w="837" w:type="pct"/>
            <w:gridSpan w:val="2"/>
            <w:noWrap/>
            <w:vAlign w:val="center"/>
          </w:tcPr>
          <w:p w14:paraId="40AA3867" w14:textId="7777777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hAnsiTheme="majorBidi" w:cstheme="majorBidi"/>
                <w:b/>
                <w:bCs/>
              </w:rPr>
              <w:t>Rural</w:t>
            </w:r>
          </w:p>
        </w:tc>
        <w:tc>
          <w:tcPr>
            <w:tcW w:w="913" w:type="pct"/>
            <w:vAlign w:val="center"/>
          </w:tcPr>
          <w:p w14:paraId="58E847D7" w14:textId="3898379A"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50 (50%)</w:t>
            </w:r>
          </w:p>
        </w:tc>
        <w:tc>
          <w:tcPr>
            <w:tcW w:w="864" w:type="pct"/>
            <w:noWrap/>
            <w:vAlign w:val="center"/>
          </w:tcPr>
          <w:p w14:paraId="5D429318" w14:textId="10DBBCD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GB"/>
              </w:rPr>
            </w:pPr>
            <w:r w:rsidRPr="00585421">
              <w:rPr>
                <w:rFonts w:asciiTheme="majorBidi" w:hAnsiTheme="majorBidi" w:cstheme="majorBidi"/>
              </w:rPr>
              <w:t>29 (50.88%)</w:t>
            </w:r>
          </w:p>
        </w:tc>
        <w:tc>
          <w:tcPr>
            <w:tcW w:w="779" w:type="pct"/>
            <w:vAlign w:val="center"/>
          </w:tcPr>
          <w:p w14:paraId="5E11EB17" w14:textId="7777777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GB"/>
              </w:rPr>
            </w:pPr>
            <w:r w:rsidRPr="00585421">
              <w:rPr>
                <w:rFonts w:asciiTheme="majorBidi" w:hAnsiTheme="majorBidi" w:cstheme="majorBidi"/>
              </w:rPr>
              <w:t>21 (48.84%)</w:t>
            </w:r>
          </w:p>
        </w:tc>
        <w:tc>
          <w:tcPr>
            <w:tcW w:w="485" w:type="pct"/>
            <w:vMerge/>
            <w:noWrap/>
            <w:vAlign w:val="center"/>
          </w:tcPr>
          <w:p w14:paraId="7074B65B" w14:textId="7777777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GB"/>
              </w:rPr>
            </w:pPr>
          </w:p>
        </w:tc>
      </w:tr>
      <w:tr w:rsidR="00BA56AD" w:rsidRPr="00585421" w14:paraId="64FF0E82"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959" w:type="pct"/>
            <w:gridSpan w:val="3"/>
            <w:noWrap/>
            <w:vAlign w:val="center"/>
          </w:tcPr>
          <w:p w14:paraId="271C82EB" w14:textId="77777777" w:rsidR="00B42544" w:rsidRPr="00585421" w:rsidRDefault="00B42544"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Family history of breast cancer</w:t>
            </w:r>
          </w:p>
        </w:tc>
        <w:tc>
          <w:tcPr>
            <w:tcW w:w="913" w:type="pct"/>
            <w:vAlign w:val="center"/>
          </w:tcPr>
          <w:p w14:paraId="700BF422" w14:textId="7BF35ABD"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(4%)</w:t>
            </w:r>
          </w:p>
        </w:tc>
        <w:tc>
          <w:tcPr>
            <w:tcW w:w="864" w:type="pct"/>
            <w:noWrap/>
            <w:vAlign w:val="center"/>
          </w:tcPr>
          <w:p w14:paraId="0BD731AA" w14:textId="3B5695D3"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(7.02%)</w:t>
            </w:r>
          </w:p>
        </w:tc>
        <w:tc>
          <w:tcPr>
            <w:tcW w:w="779" w:type="pct"/>
            <w:vAlign w:val="center"/>
          </w:tcPr>
          <w:p w14:paraId="5998F463" w14:textId="03BE9C1E"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 (0%)</w:t>
            </w:r>
          </w:p>
        </w:tc>
        <w:tc>
          <w:tcPr>
            <w:tcW w:w="485" w:type="pct"/>
            <w:noWrap/>
            <w:vAlign w:val="center"/>
          </w:tcPr>
          <w:p w14:paraId="5BE46B8E" w14:textId="77777777" w:rsidR="00B42544" w:rsidRPr="00585421" w:rsidRDefault="00B42544"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585421">
              <w:rPr>
                <w:rFonts w:asciiTheme="majorBidi" w:hAnsiTheme="majorBidi" w:cstheme="majorBidi"/>
              </w:rPr>
              <w:t>0.132</w:t>
            </w:r>
          </w:p>
        </w:tc>
      </w:tr>
      <w:tr w:rsidR="00BA56AD" w:rsidRPr="00585421" w14:paraId="43EE8853"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59" w:type="pct"/>
            <w:gridSpan w:val="3"/>
            <w:noWrap/>
            <w:vAlign w:val="center"/>
          </w:tcPr>
          <w:p w14:paraId="27DC8EF5" w14:textId="77777777" w:rsidR="00B42544" w:rsidRPr="00585421" w:rsidRDefault="00B42544"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OCP</w:t>
            </w:r>
          </w:p>
        </w:tc>
        <w:tc>
          <w:tcPr>
            <w:tcW w:w="913" w:type="pct"/>
            <w:vAlign w:val="center"/>
          </w:tcPr>
          <w:p w14:paraId="77BD317C" w14:textId="41ECFA99"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43 (43%)</w:t>
            </w:r>
          </w:p>
        </w:tc>
        <w:tc>
          <w:tcPr>
            <w:tcW w:w="864" w:type="pct"/>
            <w:noWrap/>
            <w:vAlign w:val="center"/>
          </w:tcPr>
          <w:p w14:paraId="53651EE6" w14:textId="15A1B583"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16 (28.07%)</w:t>
            </w:r>
          </w:p>
        </w:tc>
        <w:tc>
          <w:tcPr>
            <w:tcW w:w="779" w:type="pct"/>
            <w:vAlign w:val="center"/>
          </w:tcPr>
          <w:p w14:paraId="695F4BD9" w14:textId="7777777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27 (62.79%)</w:t>
            </w:r>
          </w:p>
        </w:tc>
        <w:tc>
          <w:tcPr>
            <w:tcW w:w="485" w:type="pct"/>
            <w:noWrap/>
            <w:vAlign w:val="center"/>
          </w:tcPr>
          <w:p w14:paraId="07EDAC10" w14:textId="77777777" w:rsidR="00B42544" w:rsidRPr="00585421" w:rsidRDefault="00B42544"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rPr>
            </w:pPr>
            <w:r w:rsidRPr="00585421">
              <w:rPr>
                <w:rFonts w:asciiTheme="majorBidi" w:hAnsiTheme="majorBidi" w:cstheme="majorBidi"/>
                <w:b/>
                <w:bCs/>
              </w:rPr>
              <w:t>&lt;0.001*</w:t>
            </w:r>
          </w:p>
        </w:tc>
      </w:tr>
      <w:tr w:rsidR="00DE37CF" w:rsidRPr="00585421" w14:paraId="6DE032D5"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noWrap/>
            <w:vAlign w:val="center"/>
          </w:tcPr>
          <w:p w14:paraId="586D22E3" w14:textId="041D07BE" w:rsidR="00DE37CF" w:rsidRPr="00DE37CF" w:rsidRDefault="00DE37CF" w:rsidP="00D3559B">
            <w:pPr>
              <w:jc w:val="center"/>
              <w:rPr>
                <w:rFonts w:asciiTheme="majorBidi" w:hAnsiTheme="majorBidi" w:cstheme="majorBidi"/>
              </w:rPr>
            </w:pPr>
            <w:r>
              <w:rPr>
                <w:rFonts w:asciiTheme="majorBidi" w:hAnsiTheme="majorBidi" w:cstheme="majorBidi"/>
              </w:rPr>
              <w:t>L</w:t>
            </w:r>
            <w:r w:rsidRPr="00DE37CF">
              <w:rPr>
                <w:rFonts w:asciiTheme="majorBidi" w:hAnsiTheme="majorBidi" w:cstheme="majorBidi"/>
              </w:rPr>
              <w:t>aboratory finding</w:t>
            </w:r>
          </w:p>
        </w:tc>
      </w:tr>
      <w:tr w:rsidR="00BA56AD" w:rsidRPr="00585421" w14:paraId="5E2B519F"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val="restart"/>
            <w:noWrap/>
            <w:vAlign w:val="center"/>
          </w:tcPr>
          <w:p w14:paraId="18FE28AD" w14:textId="4D7BFD6A" w:rsidR="00BA56AD" w:rsidRPr="00585421" w:rsidRDefault="00BA56AD" w:rsidP="00D3559B">
            <w:pPr>
              <w:jc w:val="center"/>
              <w:rPr>
                <w:rFonts w:asciiTheme="majorBidi" w:eastAsia="Times New Roman" w:hAnsiTheme="majorBidi" w:cstheme="majorBidi"/>
                <w:b w:val="0"/>
                <w:bCs w:val="0"/>
                <w:lang w:eastAsia="en-GB"/>
              </w:rPr>
            </w:pPr>
            <w:bookmarkStart w:id="4" w:name="_Hlk195100824"/>
            <w:r w:rsidRPr="00585421">
              <w:rPr>
                <w:rFonts w:asciiTheme="majorBidi" w:eastAsia="Times New Roman" w:hAnsiTheme="majorBidi" w:cstheme="majorBidi"/>
                <w:lang w:eastAsia="en-GB"/>
              </w:rPr>
              <w:t>WBCs</w:t>
            </w:r>
            <w:bookmarkEnd w:id="4"/>
          </w:p>
          <w:p w14:paraId="66E6191D" w14:textId="696B3CA0" w:rsidR="00BA56AD" w:rsidRPr="00585421" w:rsidRDefault="00BA56AD" w:rsidP="00D3559B">
            <w:pPr>
              <w:jc w:val="center"/>
              <w:rPr>
                <w:rFonts w:asciiTheme="majorBidi" w:eastAsia="Times New Roman" w:hAnsiTheme="majorBidi" w:cstheme="majorBidi"/>
                <w:b w:val="0"/>
                <w:bCs w:val="0"/>
                <w:lang w:eastAsia="en-GB"/>
              </w:rPr>
            </w:pPr>
            <w:r w:rsidRPr="00585421">
              <w:rPr>
                <w:rFonts w:asciiTheme="majorBidi" w:eastAsia="Times New Roman" w:hAnsiTheme="majorBidi" w:cstheme="majorBidi"/>
                <w:lang w:eastAsia="en-GB"/>
              </w:rPr>
              <w:t>(× 10</w:t>
            </w:r>
            <w:r w:rsidRPr="00585421">
              <w:rPr>
                <w:rFonts w:asciiTheme="majorBidi" w:eastAsia="Times New Roman" w:hAnsiTheme="majorBidi" w:cstheme="majorBidi"/>
                <w:vertAlign w:val="superscript"/>
                <w:lang w:eastAsia="en-GB"/>
              </w:rPr>
              <w:t>9</w:t>
            </w:r>
            <w:r w:rsidRPr="00585421">
              <w:rPr>
                <w:rFonts w:asciiTheme="majorBidi" w:eastAsia="Times New Roman" w:hAnsiTheme="majorBidi" w:cstheme="majorBidi"/>
                <w:lang w:eastAsia="en-GB"/>
              </w:rPr>
              <w:t>/L)</w:t>
            </w:r>
          </w:p>
        </w:tc>
        <w:tc>
          <w:tcPr>
            <w:tcW w:w="812" w:type="pct"/>
            <w:vAlign w:val="center"/>
          </w:tcPr>
          <w:p w14:paraId="3B615DCA" w14:textId="5201C6C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lang w:eastAsia="en-GB"/>
              </w:rPr>
            </w:pPr>
            <w:r w:rsidRPr="00585421">
              <w:rPr>
                <w:rFonts w:asciiTheme="majorBidi" w:eastAsia="Times New Roman" w:hAnsiTheme="majorBidi" w:cstheme="majorBidi"/>
                <w:b/>
                <w:bCs/>
                <w:lang w:eastAsia="en-GB"/>
              </w:rPr>
              <w:t>Mean± SD</w:t>
            </w:r>
          </w:p>
        </w:tc>
        <w:tc>
          <w:tcPr>
            <w:tcW w:w="913" w:type="pct"/>
            <w:vAlign w:val="center"/>
          </w:tcPr>
          <w:p w14:paraId="2157DD22" w14:textId="4B3BEF2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7.15± 2.88</w:t>
            </w:r>
          </w:p>
        </w:tc>
        <w:tc>
          <w:tcPr>
            <w:tcW w:w="864" w:type="pct"/>
            <w:noWrap/>
            <w:vAlign w:val="center"/>
          </w:tcPr>
          <w:p w14:paraId="42CB3785" w14:textId="20DFA7F0"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5.8± 1.74</w:t>
            </w:r>
          </w:p>
        </w:tc>
        <w:tc>
          <w:tcPr>
            <w:tcW w:w="779" w:type="pct"/>
            <w:vAlign w:val="center"/>
          </w:tcPr>
          <w:p w14:paraId="091DBED0" w14:textId="3F3A61BA"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8.86± 3.13</w:t>
            </w:r>
          </w:p>
        </w:tc>
        <w:tc>
          <w:tcPr>
            <w:tcW w:w="485" w:type="pct"/>
            <w:vMerge w:val="restart"/>
            <w:noWrap/>
            <w:vAlign w:val="center"/>
          </w:tcPr>
          <w:p w14:paraId="552DEEB4" w14:textId="7B642642"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eastAsia="Times New Roman" w:hAnsiTheme="majorBidi" w:cstheme="majorBidi"/>
                <w:b/>
                <w:bCs/>
              </w:rPr>
              <w:t>&lt;0.001*</w:t>
            </w:r>
          </w:p>
        </w:tc>
      </w:tr>
      <w:tr w:rsidR="00BA56AD" w:rsidRPr="00585421" w14:paraId="48341547"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1686964A"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4440549C" w14:textId="112126CD"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Range</w:t>
            </w:r>
          </w:p>
        </w:tc>
        <w:tc>
          <w:tcPr>
            <w:tcW w:w="913" w:type="pct"/>
            <w:vAlign w:val="center"/>
          </w:tcPr>
          <w:p w14:paraId="72FABDF2" w14:textId="55529364"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3.4-13.4</w:t>
            </w:r>
          </w:p>
        </w:tc>
        <w:tc>
          <w:tcPr>
            <w:tcW w:w="864" w:type="pct"/>
            <w:noWrap/>
            <w:vAlign w:val="center"/>
          </w:tcPr>
          <w:p w14:paraId="1855EA32" w14:textId="3DC3F79C"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3.4-9</w:t>
            </w:r>
          </w:p>
        </w:tc>
        <w:tc>
          <w:tcPr>
            <w:tcW w:w="779" w:type="pct"/>
            <w:vAlign w:val="center"/>
          </w:tcPr>
          <w:p w14:paraId="33064E9D" w14:textId="21FEE9C0"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4.4-13.4</w:t>
            </w:r>
          </w:p>
        </w:tc>
        <w:tc>
          <w:tcPr>
            <w:tcW w:w="485" w:type="pct"/>
            <w:vMerge/>
            <w:noWrap/>
            <w:vAlign w:val="center"/>
          </w:tcPr>
          <w:p w14:paraId="1402BDB2" w14:textId="7777777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BA56AD" w:rsidRPr="00585421" w14:paraId="44122D41"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val="restart"/>
            <w:noWrap/>
            <w:vAlign w:val="center"/>
          </w:tcPr>
          <w:p w14:paraId="085EE1C5" w14:textId="75713BC3" w:rsidR="00BA56AD" w:rsidRPr="00585421" w:rsidRDefault="00BA56AD" w:rsidP="00D3559B">
            <w:pPr>
              <w:jc w:val="center"/>
              <w:rPr>
                <w:rFonts w:asciiTheme="majorBidi" w:eastAsia="Times New Roman" w:hAnsiTheme="majorBidi" w:cstheme="majorBidi"/>
                <w:b w:val="0"/>
                <w:bCs w:val="0"/>
                <w:lang w:eastAsia="en-GB"/>
              </w:rPr>
            </w:pPr>
            <w:r w:rsidRPr="00585421">
              <w:rPr>
                <w:rFonts w:asciiTheme="majorBidi" w:eastAsia="Times New Roman" w:hAnsiTheme="majorBidi" w:cstheme="majorBidi"/>
                <w:lang w:eastAsia="en-GB"/>
              </w:rPr>
              <w:t>Platelet count</w:t>
            </w:r>
          </w:p>
          <w:p w14:paraId="56868999" w14:textId="3B07FD29" w:rsidR="00BA56AD" w:rsidRPr="00585421" w:rsidRDefault="00BA56AD"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 10</w:t>
            </w:r>
            <w:r w:rsidRPr="00585421">
              <w:rPr>
                <w:rFonts w:asciiTheme="majorBidi" w:eastAsia="Times New Roman" w:hAnsiTheme="majorBidi" w:cstheme="majorBidi"/>
                <w:vertAlign w:val="superscript"/>
                <w:lang w:eastAsia="en-GB"/>
              </w:rPr>
              <w:t>9</w:t>
            </w:r>
            <w:r w:rsidRPr="00585421">
              <w:rPr>
                <w:rFonts w:asciiTheme="majorBidi" w:eastAsia="Times New Roman" w:hAnsiTheme="majorBidi" w:cstheme="majorBidi"/>
                <w:lang w:eastAsia="en-GB"/>
              </w:rPr>
              <w:t>/L)</w:t>
            </w:r>
          </w:p>
        </w:tc>
        <w:tc>
          <w:tcPr>
            <w:tcW w:w="812" w:type="pct"/>
            <w:vAlign w:val="center"/>
          </w:tcPr>
          <w:p w14:paraId="025986F5" w14:textId="3C87E962"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Mean± SD</w:t>
            </w:r>
          </w:p>
        </w:tc>
        <w:tc>
          <w:tcPr>
            <w:tcW w:w="913" w:type="pct"/>
            <w:vAlign w:val="center"/>
          </w:tcPr>
          <w:p w14:paraId="3F9B0659" w14:textId="7362556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288.71± 51.69</w:t>
            </w:r>
          </w:p>
        </w:tc>
        <w:tc>
          <w:tcPr>
            <w:tcW w:w="864" w:type="pct"/>
            <w:noWrap/>
            <w:vAlign w:val="center"/>
          </w:tcPr>
          <w:p w14:paraId="394F57A8" w14:textId="4B5A2891"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285.13± 44.2</w:t>
            </w:r>
          </w:p>
        </w:tc>
        <w:tc>
          <w:tcPr>
            <w:tcW w:w="779" w:type="pct"/>
            <w:vAlign w:val="center"/>
          </w:tcPr>
          <w:p w14:paraId="33E291E9" w14:textId="5CD316E5"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293.21± 60.04</w:t>
            </w:r>
          </w:p>
        </w:tc>
        <w:tc>
          <w:tcPr>
            <w:tcW w:w="485" w:type="pct"/>
            <w:vMerge w:val="restart"/>
            <w:noWrap/>
            <w:vAlign w:val="center"/>
          </w:tcPr>
          <w:p w14:paraId="1604753C" w14:textId="4C1CB4E0"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rPr>
              <w:t>0.447</w:t>
            </w:r>
          </w:p>
        </w:tc>
      </w:tr>
      <w:tr w:rsidR="00BA56AD" w:rsidRPr="00585421" w14:paraId="44BBE097"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2109ADEF"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0B627116" w14:textId="76A3DD8A"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Range</w:t>
            </w:r>
          </w:p>
        </w:tc>
        <w:tc>
          <w:tcPr>
            <w:tcW w:w="913" w:type="pct"/>
            <w:vAlign w:val="center"/>
          </w:tcPr>
          <w:p w14:paraId="5A990280" w14:textId="1E7358B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225-450</w:t>
            </w:r>
          </w:p>
        </w:tc>
        <w:tc>
          <w:tcPr>
            <w:tcW w:w="864" w:type="pct"/>
            <w:noWrap/>
            <w:vAlign w:val="center"/>
          </w:tcPr>
          <w:p w14:paraId="3B01DA77" w14:textId="29222F53"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230-350</w:t>
            </w:r>
          </w:p>
        </w:tc>
        <w:tc>
          <w:tcPr>
            <w:tcW w:w="779" w:type="pct"/>
            <w:vAlign w:val="center"/>
          </w:tcPr>
          <w:p w14:paraId="5126EBA2" w14:textId="1F7E5EB8"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225-450</w:t>
            </w:r>
          </w:p>
        </w:tc>
        <w:tc>
          <w:tcPr>
            <w:tcW w:w="485" w:type="pct"/>
            <w:vMerge/>
            <w:noWrap/>
            <w:vAlign w:val="center"/>
          </w:tcPr>
          <w:p w14:paraId="5D2A8EF9" w14:textId="7777777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BA56AD" w:rsidRPr="00585421" w14:paraId="281842B6"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val="restart"/>
            <w:noWrap/>
            <w:vAlign w:val="center"/>
          </w:tcPr>
          <w:p w14:paraId="568CAD78" w14:textId="45C408F3" w:rsidR="00BA56AD" w:rsidRPr="00585421" w:rsidRDefault="00BA56AD"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Neutrophil (%)</w:t>
            </w:r>
          </w:p>
        </w:tc>
        <w:tc>
          <w:tcPr>
            <w:tcW w:w="812" w:type="pct"/>
            <w:vAlign w:val="center"/>
          </w:tcPr>
          <w:p w14:paraId="6DE7AA62" w14:textId="0C981B09"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Mean± SD</w:t>
            </w:r>
          </w:p>
        </w:tc>
        <w:tc>
          <w:tcPr>
            <w:tcW w:w="913" w:type="pct"/>
            <w:vAlign w:val="center"/>
          </w:tcPr>
          <w:p w14:paraId="6B8070FA" w14:textId="06435D00"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4.37± 2.16</w:t>
            </w:r>
          </w:p>
        </w:tc>
        <w:tc>
          <w:tcPr>
            <w:tcW w:w="864" w:type="pct"/>
            <w:noWrap/>
            <w:vAlign w:val="center"/>
          </w:tcPr>
          <w:p w14:paraId="397B1EEE" w14:textId="4E046AF8"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3.94± 1.72</w:t>
            </w:r>
          </w:p>
        </w:tc>
        <w:tc>
          <w:tcPr>
            <w:tcW w:w="779" w:type="pct"/>
            <w:vAlign w:val="center"/>
          </w:tcPr>
          <w:p w14:paraId="435E70E5" w14:textId="1A8899CB"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4.93± 2.54</w:t>
            </w:r>
          </w:p>
        </w:tc>
        <w:tc>
          <w:tcPr>
            <w:tcW w:w="485" w:type="pct"/>
            <w:vMerge w:val="restart"/>
            <w:noWrap/>
            <w:vAlign w:val="center"/>
          </w:tcPr>
          <w:p w14:paraId="191DD244" w14:textId="0453DBCE"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0.023*</w:t>
            </w:r>
          </w:p>
        </w:tc>
      </w:tr>
      <w:tr w:rsidR="00BA56AD" w:rsidRPr="00585421" w14:paraId="5EE52C80"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68A592EE"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330297BE" w14:textId="18E9113B"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Range</w:t>
            </w:r>
          </w:p>
        </w:tc>
        <w:tc>
          <w:tcPr>
            <w:tcW w:w="913" w:type="pct"/>
            <w:vAlign w:val="center"/>
          </w:tcPr>
          <w:p w14:paraId="0584215A" w14:textId="61536A6B"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1.6-9.3</w:t>
            </w:r>
          </w:p>
        </w:tc>
        <w:tc>
          <w:tcPr>
            <w:tcW w:w="864" w:type="pct"/>
            <w:noWrap/>
            <w:vAlign w:val="center"/>
          </w:tcPr>
          <w:p w14:paraId="39003E8E" w14:textId="0580B13B"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1.6-7</w:t>
            </w:r>
          </w:p>
        </w:tc>
        <w:tc>
          <w:tcPr>
            <w:tcW w:w="779" w:type="pct"/>
            <w:vAlign w:val="center"/>
          </w:tcPr>
          <w:p w14:paraId="596CA4A7" w14:textId="351BC58E"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2-9.3</w:t>
            </w:r>
          </w:p>
        </w:tc>
        <w:tc>
          <w:tcPr>
            <w:tcW w:w="485" w:type="pct"/>
            <w:vMerge/>
            <w:noWrap/>
            <w:vAlign w:val="center"/>
          </w:tcPr>
          <w:p w14:paraId="37F5770E" w14:textId="7777777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BA56AD" w:rsidRPr="00585421" w14:paraId="4E2F64E8"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1A237CEE"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5E7C7493" w14:textId="0B3EF69F"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Median (IQR)</w:t>
            </w:r>
          </w:p>
        </w:tc>
        <w:tc>
          <w:tcPr>
            <w:tcW w:w="913" w:type="pct"/>
            <w:vAlign w:val="center"/>
          </w:tcPr>
          <w:p w14:paraId="67911B7E" w14:textId="58266529"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3.75 (2.7-5.7)</w:t>
            </w:r>
          </w:p>
        </w:tc>
        <w:tc>
          <w:tcPr>
            <w:tcW w:w="864" w:type="pct"/>
            <w:noWrap/>
            <w:vAlign w:val="center"/>
          </w:tcPr>
          <w:p w14:paraId="44D8A6C9" w14:textId="05769701"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3.5 (2.7 - 5.4)</w:t>
            </w:r>
          </w:p>
        </w:tc>
        <w:tc>
          <w:tcPr>
            <w:tcW w:w="779" w:type="pct"/>
            <w:vAlign w:val="center"/>
          </w:tcPr>
          <w:p w14:paraId="46834A15" w14:textId="318BC09B"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5 (2.4 - 6.5)</w:t>
            </w:r>
          </w:p>
        </w:tc>
        <w:tc>
          <w:tcPr>
            <w:tcW w:w="485" w:type="pct"/>
            <w:vMerge/>
            <w:noWrap/>
            <w:vAlign w:val="center"/>
          </w:tcPr>
          <w:p w14:paraId="35BDD209" w14:textId="777777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BA56AD" w:rsidRPr="00585421" w14:paraId="0689639E"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val="restart"/>
            <w:noWrap/>
            <w:vAlign w:val="center"/>
          </w:tcPr>
          <w:p w14:paraId="5F4E82BE" w14:textId="5FBF63B6" w:rsidR="00BA56AD" w:rsidRPr="00585421" w:rsidRDefault="00BA56AD"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Lymphocyte (%)</w:t>
            </w:r>
          </w:p>
        </w:tc>
        <w:tc>
          <w:tcPr>
            <w:tcW w:w="812" w:type="pct"/>
            <w:vAlign w:val="center"/>
          </w:tcPr>
          <w:p w14:paraId="61FA91A8" w14:textId="4C61299D"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Mean± SD</w:t>
            </w:r>
          </w:p>
        </w:tc>
        <w:tc>
          <w:tcPr>
            <w:tcW w:w="913" w:type="pct"/>
            <w:vAlign w:val="center"/>
          </w:tcPr>
          <w:p w14:paraId="64B2C3AE" w14:textId="150BF32B"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2.21± 1.31</w:t>
            </w:r>
          </w:p>
        </w:tc>
        <w:tc>
          <w:tcPr>
            <w:tcW w:w="864" w:type="pct"/>
            <w:noWrap/>
            <w:vAlign w:val="center"/>
          </w:tcPr>
          <w:p w14:paraId="3909C866" w14:textId="5968B979"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1.33± 0.33</w:t>
            </w:r>
          </w:p>
        </w:tc>
        <w:tc>
          <w:tcPr>
            <w:tcW w:w="779" w:type="pct"/>
            <w:vAlign w:val="center"/>
          </w:tcPr>
          <w:p w14:paraId="4759B0E5" w14:textId="21A03585"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3.36± 1.23</w:t>
            </w:r>
          </w:p>
        </w:tc>
        <w:tc>
          <w:tcPr>
            <w:tcW w:w="485" w:type="pct"/>
            <w:vMerge w:val="restart"/>
            <w:noWrap/>
            <w:vAlign w:val="center"/>
          </w:tcPr>
          <w:p w14:paraId="56E411BD" w14:textId="20242CEE"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eastAsia="Times New Roman" w:hAnsiTheme="majorBidi" w:cstheme="majorBidi"/>
                <w:b/>
                <w:bCs/>
              </w:rPr>
              <w:t>&lt;0.001*</w:t>
            </w:r>
          </w:p>
        </w:tc>
      </w:tr>
      <w:tr w:rsidR="00BA56AD" w:rsidRPr="00585421" w14:paraId="5A5D5633"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4138E4AF"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3EA9D6DB" w14:textId="49C0C6B5"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Range</w:t>
            </w:r>
          </w:p>
        </w:tc>
        <w:tc>
          <w:tcPr>
            <w:tcW w:w="913" w:type="pct"/>
            <w:vAlign w:val="center"/>
          </w:tcPr>
          <w:p w14:paraId="14A45BC3" w14:textId="067C71F2"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0.8-6.1</w:t>
            </w:r>
          </w:p>
        </w:tc>
        <w:tc>
          <w:tcPr>
            <w:tcW w:w="864" w:type="pct"/>
            <w:noWrap/>
            <w:vAlign w:val="center"/>
          </w:tcPr>
          <w:p w14:paraId="00611745" w14:textId="1A31EBA3"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0.8-1.8</w:t>
            </w:r>
          </w:p>
        </w:tc>
        <w:tc>
          <w:tcPr>
            <w:tcW w:w="779" w:type="pct"/>
            <w:vAlign w:val="center"/>
          </w:tcPr>
          <w:p w14:paraId="27C653DC" w14:textId="08298829"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2-6.1</w:t>
            </w:r>
          </w:p>
        </w:tc>
        <w:tc>
          <w:tcPr>
            <w:tcW w:w="485" w:type="pct"/>
            <w:vMerge/>
            <w:noWrap/>
            <w:vAlign w:val="center"/>
          </w:tcPr>
          <w:p w14:paraId="7E8BF5B0" w14:textId="777777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BA56AD" w:rsidRPr="00585421" w14:paraId="519A46F2"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val="restart"/>
            <w:noWrap/>
            <w:vAlign w:val="center"/>
          </w:tcPr>
          <w:p w14:paraId="4218582E" w14:textId="26A0841D" w:rsidR="00BA56AD" w:rsidRPr="00585421" w:rsidRDefault="00BA56AD"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PLR</w:t>
            </w:r>
          </w:p>
        </w:tc>
        <w:tc>
          <w:tcPr>
            <w:tcW w:w="812" w:type="pct"/>
            <w:vAlign w:val="center"/>
          </w:tcPr>
          <w:p w14:paraId="3AFBC23D" w14:textId="76F909F9"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Mean± SD</w:t>
            </w:r>
          </w:p>
        </w:tc>
        <w:tc>
          <w:tcPr>
            <w:tcW w:w="913" w:type="pct"/>
            <w:vAlign w:val="center"/>
          </w:tcPr>
          <w:p w14:paraId="67577CB8" w14:textId="3DCD5596"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168.42± 96.35</w:t>
            </w:r>
          </w:p>
        </w:tc>
        <w:tc>
          <w:tcPr>
            <w:tcW w:w="864" w:type="pct"/>
            <w:noWrap/>
            <w:vAlign w:val="center"/>
          </w:tcPr>
          <w:p w14:paraId="22588187" w14:textId="3C594C5C"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228.44± 84.1</w:t>
            </w:r>
          </w:p>
        </w:tc>
        <w:tc>
          <w:tcPr>
            <w:tcW w:w="779" w:type="pct"/>
            <w:vAlign w:val="center"/>
          </w:tcPr>
          <w:p w14:paraId="386DD3FD" w14:textId="48D3397E"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88.87± 32.9</w:t>
            </w:r>
          </w:p>
        </w:tc>
        <w:tc>
          <w:tcPr>
            <w:tcW w:w="485" w:type="pct"/>
            <w:vMerge w:val="restart"/>
            <w:noWrap/>
            <w:vAlign w:val="center"/>
          </w:tcPr>
          <w:p w14:paraId="686A505F" w14:textId="26DC57B1"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eastAsia="Times New Roman" w:hAnsiTheme="majorBidi" w:cstheme="majorBidi"/>
                <w:b/>
                <w:bCs/>
              </w:rPr>
              <w:t>&lt;0.001*</w:t>
            </w:r>
          </w:p>
        </w:tc>
      </w:tr>
      <w:tr w:rsidR="00BA56AD" w:rsidRPr="00585421" w14:paraId="71DE8041"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48238C1B"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16C2C8FE" w14:textId="7FEB345F"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Range</w:t>
            </w:r>
          </w:p>
        </w:tc>
        <w:tc>
          <w:tcPr>
            <w:tcW w:w="913" w:type="pct"/>
            <w:vAlign w:val="center"/>
          </w:tcPr>
          <w:p w14:paraId="49A5824D" w14:textId="09591E55"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12-437</w:t>
            </w:r>
          </w:p>
        </w:tc>
        <w:tc>
          <w:tcPr>
            <w:tcW w:w="864" w:type="pct"/>
            <w:noWrap/>
            <w:vAlign w:val="center"/>
          </w:tcPr>
          <w:p w14:paraId="6D84AF7E" w14:textId="6A5168F8"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156-437</w:t>
            </w:r>
          </w:p>
        </w:tc>
        <w:tc>
          <w:tcPr>
            <w:tcW w:w="779" w:type="pct"/>
            <w:vAlign w:val="center"/>
          </w:tcPr>
          <w:p w14:paraId="164D67B7" w14:textId="5034D5E6"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12-131</w:t>
            </w:r>
          </w:p>
        </w:tc>
        <w:tc>
          <w:tcPr>
            <w:tcW w:w="485" w:type="pct"/>
            <w:vMerge/>
            <w:noWrap/>
            <w:vAlign w:val="center"/>
          </w:tcPr>
          <w:p w14:paraId="3290A389" w14:textId="777777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BA56AD" w:rsidRPr="00585421" w14:paraId="597DA4C5"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val="restart"/>
            <w:noWrap/>
            <w:vAlign w:val="center"/>
          </w:tcPr>
          <w:p w14:paraId="734A1E7B" w14:textId="4427010B" w:rsidR="00BA56AD" w:rsidRPr="00585421" w:rsidRDefault="00BA56AD"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PNR</w:t>
            </w:r>
          </w:p>
        </w:tc>
        <w:tc>
          <w:tcPr>
            <w:tcW w:w="812" w:type="pct"/>
            <w:vAlign w:val="center"/>
          </w:tcPr>
          <w:p w14:paraId="7D803962" w14:textId="275FD6EB"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Mean± SD</w:t>
            </w:r>
          </w:p>
        </w:tc>
        <w:tc>
          <w:tcPr>
            <w:tcW w:w="913" w:type="pct"/>
            <w:vAlign w:val="center"/>
          </w:tcPr>
          <w:p w14:paraId="3B26699A" w14:textId="536A4E1B"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80.77± 39.85</w:t>
            </w:r>
          </w:p>
        </w:tc>
        <w:tc>
          <w:tcPr>
            <w:tcW w:w="864" w:type="pct"/>
            <w:noWrap/>
            <w:vAlign w:val="center"/>
          </w:tcPr>
          <w:p w14:paraId="4BADFC4E" w14:textId="15FEB04C"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85.74± 37.11</w:t>
            </w:r>
          </w:p>
        </w:tc>
        <w:tc>
          <w:tcPr>
            <w:tcW w:w="779" w:type="pct"/>
            <w:vAlign w:val="center"/>
          </w:tcPr>
          <w:p w14:paraId="6CB5217D" w14:textId="66BE21FB"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74.19± 42.76</w:t>
            </w:r>
          </w:p>
        </w:tc>
        <w:tc>
          <w:tcPr>
            <w:tcW w:w="485" w:type="pct"/>
            <w:vMerge w:val="restart"/>
            <w:noWrap/>
            <w:vAlign w:val="center"/>
          </w:tcPr>
          <w:p w14:paraId="7BD29A7D" w14:textId="6E1CE1BD"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rPr>
              <w:t>0.152</w:t>
            </w:r>
          </w:p>
        </w:tc>
      </w:tr>
      <w:tr w:rsidR="00BA56AD" w:rsidRPr="00585421" w14:paraId="42560F81"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4E506284"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7CE04947" w14:textId="7A9D999B"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Range</w:t>
            </w:r>
          </w:p>
        </w:tc>
        <w:tc>
          <w:tcPr>
            <w:tcW w:w="913" w:type="pct"/>
            <w:vAlign w:val="center"/>
          </w:tcPr>
          <w:p w14:paraId="43681524" w14:textId="30434B4F"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30-168</w:t>
            </w:r>
          </w:p>
        </w:tc>
        <w:tc>
          <w:tcPr>
            <w:tcW w:w="864" w:type="pct"/>
            <w:noWrap/>
            <w:vAlign w:val="center"/>
          </w:tcPr>
          <w:p w14:paraId="0AFFD2BC" w14:textId="272A9A3D"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32-168</w:t>
            </w:r>
          </w:p>
        </w:tc>
        <w:tc>
          <w:tcPr>
            <w:tcW w:w="779" w:type="pct"/>
            <w:vAlign w:val="center"/>
          </w:tcPr>
          <w:p w14:paraId="134422CF" w14:textId="286BD9E6"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30-150</w:t>
            </w:r>
          </w:p>
        </w:tc>
        <w:tc>
          <w:tcPr>
            <w:tcW w:w="485" w:type="pct"/>
            <w:vMerge/>
            <w:noWrap/>
            <w:vAlign w:val="center"/>
          </w:tcPr>
          <w:p w14:paraId="37F80EA1" w14:textId="777777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BA56AD" w:rsidRPr="00585421" w14:paraId="79016780"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683A4011"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1DB8B899" w14:textId="45ECA4F1"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Median (IQR)</w:t>
            </w:r>
          </w:p>
        </w:tc>
        <w:tc>
          <w:tcPr>
            <w:tcW w:w="913" w:type="pct"/>
            <w:vAlign w:val="center"/>
          </w:tcPr>
          <w:p w14:paraId="528E990D" w14:textId="35D9E024"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70 (45 – 113)</w:t>
            </w:r>
          </w:p>
        </w:tc>
        <w:tc>
          <w:tcPr>
            <w:tcW w:w="864" w:type="pct"/>
            <w:noWrap/>
            <w:vAlign w:val="center"/>
          </w:tcPr>
          <w:p w14:paraId="43926EE6" w14:textId="4C9307D3"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87 (64 - 113)</w:t>
            </w:r>
          </w:p>
        </w:tc>
        <w:tc>
          <w:tcPr>
            <w:tcW w:w="779" w:type="pct"/>
            <w:vAlign w:val="center"/>
          </w:tcPr>
          <w:p w14:paraId="63B54BF6" w14:textId="3F9FF721"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52 (43.5 - 120)</w:t>
            </w:r>
          </w:p>
        </w:tc>
        <w:tc>
          <w:tcPr>
            <w:tcW w:w="485" w:type="pct"/>
            <w:vMerge/>
            <w:noWrap/>
            <w:vAlign w:val="center"/>
          </w:tcPr>
          <w:p w14:paraId="3D30177A" w14:textId="7777777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BA56AD" w:rsidRPr="00585421" w14:paraId="628C2765"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5ECDD68C"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19AC8EF4" w14:textId="35D04401"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Range</w:t>
            </w:r>
          </w:p>
        </w:tc>
        <w:tc>
          <w:tcPr>
            <w:tcW w:w="913" w:type="pct"/>
            <w:vAlign w:val="center"/>
          </w:tcPr>
          <w:p w14:paraId="0BF4F52B" w14:textId="7346BF2F"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64" w:type="pct"/>
            <w:noWrap/>
            <w:vAlign w:val="center"/>
          </w:tcPr>
          <w:p w14:paraId="4F6E33E2" w14:textId="76D87FC8"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0.4-1</w:t>
            </w:r>
          </w:p>
        </w:tc>
        <w:tc>
          <w:tcPr>
            <w:tcW w:w="779" w:type="pct"/>
            <w:vAlign w:val="center"/>
          </w:tcPr>
          <w:p w14:paraId="51C946F5" w14:textId="777777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485" w:type="pct"/>
            <w:vMerge/>
            <w:noWrap/>
            <w:vAlign w:val="center"/>
          </w:tcPr>
          <w:p w14:paraId="31B40763" w14:textId="777777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BA56AD" w:rsidRPr="00585421" w14:paraId="28EBF823"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val="restart"/>
            <w:noWrap/>
            <w:vAlign w:val="center"/>
          </w:tcPr>
          <w:p w14:paraId="3A63E8A1" w14:textId="1D2F4A49" w:rsidR="00BA56AD" w:rsidRPr="00585421" w:rsidRDefault="00BA56AD"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Pathology</w:t>
            </w:r>
          </w:p>
        </w:tc>
        <w:tc>
          <w:tcPr>
            <w:tcW w:w="812" w:type="pct"/>
            <w:vAlign w:val="center"/>
          </w:tcPr>
          <w:p w14:paraId="25E04A0C" w14:textId="3A419CB3"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hAnsiTheme="majorBidi" w:cstheme="majorBidi"/>
                <w:b/>
                <w:bCs/>
              </w:rPr>
              <w:t>ILC</w:t>
            </w:r>
          </w:p>
        </w:tc>
        <w:tc>
          <w:tcPr>
            <w:tcW w:w="913" w:type="pct"/>
            <w:vAlign w:val="center"/>
          </w:tcPr>
          <w:p w14:paraId="288574DE" w14:textId="02255220"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19 (19%)</w:t>
            </w:r>
          </w:p>
        </w:tc>
        <w:tc>
          <w:tcPr>
            <w:tcW w:w="864" w:type="pct"/>
            <w:noWrap/>
            <w:vAlign w:val="center"/>
          </w:tcPr>
          <w:p w14:paraId="22E13F91" w14:textId="3DF88D22"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11 (19.3%)</w:t>
            </w:r>
          </w:p>
        </w:tc>
        <w:tc>
          <w:tcPr>
            <w:tcW w:w="779" w:type="pct"/>
            <w:vAlign w:val="center"/>
          </w:tcPr>
          <w:p w14:paraId="36506C20" w14:textId="034B165D"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 (18.6%)</w:t>
            </w:r>
          </w:p>
        </w:tc>
        <w:tc>
          <w:tcPr>
            <w:tcW w:w="485" w:type="pct"/>
            <w:vMerge w:val="restart"/>
            <w:noWrap/>
            <w:vAlign w:val="center"/>
          </w:tcPr>
          <w:p w14:paraId="4650E848" w14:textId="251A2302"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rPr>
              <w:t>0.062</w:t>
            </w:r>
          </w:p>
        </w:tc>
      </w:tr>
      <w:tr w:rsidR="00BA56AD" w:rsidRPr="00585421" w14:paraId="7A4AD787"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1D18C506"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5A4B41E2" w14:textId="243B6289"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IDC</w:t>
            </w:r>
          </w:p>
        </w:tc>
        <w:tc>
          <w:tcPr>
            <w:tcW w:w="913" w:type="pct"/>
            <w:vAlign w:val="center"/>
          </w:tcPr>
          <w:p w14:paraId="142B589D" w14:textId="153FEB6D"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77 (77%)</w:t>
            </w:r>
          </w:p>
        </w:tc>
        <w:tc>
          <w:tcPr>
            <w:tcW w:w="864" w:type="pct"/>
            <w:noWrap/>
            <w:vAlign w:val="center"/>
          </w:tcPr>
          <w:p w14:paraId="5DF34CE2" w14:textId="72A5AC6C"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46 (80.7%)</w:t>
            </w:r>
          </w:p>
        </w:tc>
        <w:tc>
          <w:tcPr>
            <w:tcW w:w="779" w:type="pct"/>
            <w:vAlign w:val="center"/>
          </w:tcPr>
          <w:p w14:paraId="59D96FBD" w14:textId="58D4A5BE"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31 (72.09%)</w:t>
            </w:r>
          </w:p>
        </w:tc>
        <w:tc>
          <w:tcPr>
            <w:tcW w:w="485" w:type="pct"/>
            <w:vMerge/>
            <w:noWrap/>
            <w:vAlign w:val="center"/>
          </w:tcPr>
          <w:p w14:paraId="05A0863F" w14:textId="777777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BA56AD" w:rsidRPr="00585421" w14:paraId="6C24C61C"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4B9B1950" w14:textId="77777777" w:rsidR="00BA56AD" w:rsidRPr="00585421" w:rsidRDefault="00BA56AD" w:rsidP="00D3559B">
            <w:pPr>
              <w:jc w:val="center"/>
              <w:rPr>
                <w:rFonts w:asciiTheme="majorBidi" w:eastAsia="Times New Roman" w:hAnsiTheme="majorBidi" w:cstheme="majorBidi"/>
                <w:lang w:eastAsia="en-GB"/>
              </w:rPr>
            </w:pPr>
          </w:p>
        </w:tc>
        <w:tc>
          <w:tcPr>
            <w:tcW w:w="812" w:type="pct"/>
            <w:vAlign w:val="center"/>
          </w:tcPr>
          <w:p w14:paraId="1826F951" w14:textId="59D11D73"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DCIS</w:t>
            </w:r>
          </w:p>
        </w:tc>
        <w:tc>
          <w:tcPr>
            <w:tcW w:w="913" w:type="pct"/>
            <w:vAlign w:val="center"/>
          </w:tcPr>
          <w:p w14:paraId="2A375771" w14:textId="4663B99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(4%)</w:t>
            </w:r>
          </w:p>
        </w:tc>
        <w:tc>
          <w:tcPr>
            <w:tcW w:w="864" w:type="pct"/>
            <w:noWrap/>
            <w:vAlign w:val="center"/>
          </w:tcPr>
          <w:p w14:paraId="28225AAD" w14:textId="70E75A30"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 (0%)</w:t>
            </w:r>
          </w:p>
        </w:tc>
        <w:tc>
          <w:tcPr>
            <w:tcW w:w="779" w:type="pct"/>
            <w:vAlign w:val="center"/>
          </w:tcPr>
          <w:p w14:paraId="48FD6368" w14:textId="767BE06A"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(9.3%)</w:t>
            </w:r>
          </w:p>
        </w:tc>
        <w:tc>
          <w:tcPr>
            <w:tcW w:w="485" w:type="pct"/>
            <w:vMerge/>
            <w:noWrap/>
            <w:vAlign w:val="center"/>
          </w:tcPr>
          <w:p w14:paraId="3BDB6E57" w14:textId="7777777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BA56AD" w:rsidRPr="00585421" w14:paraId="170E58D5"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val="restart"/>
            <w:noWrap/>
            <w:vAlign w:val="center"/>
          </w:tcPr>
          <w:p w14:paraId="74502A9C" w14:textId="04E458AB" w:rsidR="00BA56AD" w:rsidRPr="00585421" w:rsidRDefault="00BA56AD" w:rsidP="00D3559B">
            <w:pPr>
              <w:jc w:val="center"/>
              <w:rPr>
                <w:rFonts w:asciiTheme="majorBidi" w:eastAsia="Times New Roman" w:hAnsiTheme="majorBidi" w:cstheme="majorBidi"/>
                <w:lang w:eastAsia="en-GB"/>
              </w:rPr>
            </w:pPr>
            <w:r w:rsidRPr="00585421">
              <w:rPr>
                <w:rFonts w:asciiTheme="majorBidi" w:hAnsiTheme="majorBidi" w:cstheme="majorBidi"/>
              </w:rPr>
              <w:t>Molecular subtypes</w:t>
            </w:r>
          </w:p>
        </w:tc>
        <w:tc>
          <w:tcPr>
            <w:tcW w:w="812" w:type="pct"/>
            <w:vAlign w:val="center"/>
          </w:tcPr>
          <w:p w14:paraId="427FA0B4" w14:textId="472A5530"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eastAsia="Times New Roman" w:hAnsiTheme="majorBidi" w:cstheme="majorBidi"/>
                <w:b/>
                <w:bCs/>
                <w:lang w:eastAsia="en-GB"/>
              </w:rPr>
              <w:t>Luminal A</w:t>
            </w:r>
          </w:p>
        </w:tc>
        <w:tc>
          <w:tcPr>
            <w:tcW w:w="913" w:type="pct"/>
            <w:vAlign w:val="center"/>
          </w:tcPr>
          <w:p w14:paraId="3544E0F3" w14:textId="3E12EDB3"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47 (47%)</w:t>
            </w:r>
          </w:p>
        </w:tc>
        <w:tc>
          <w:tcPr>
            <w:tcW w:w="864" w:type="pct"/>
            <w:noWrap/>
            <w:vAlign w:val="center"/>
          </w:tcPr>
          <w:p w14:paraId="2E768FAA" w14:textId="6E2DB8E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19 (33.33%)</w:t>
            </w:r>
          </w:p>
        </w:tc>
        <w:tc>
          <w:tcPr>
            <w:tcW w:w="779" w:type="pct"/>
            <w:vAlign w:val="center"/>
          </w:tcPr>
          <w:p w14:paraId="157227E1" w14:textId="6B1B60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28 (65.12%)</w:t>
            </w:r>
          </w:p>
        </w:tc>
        <w:tc>
          <w:tcPr>
            <w:tcW w:w="485" w:type="pct"/>
            <w:vMerge w:val="restart"/>
            <w:noWrap/>
            <w:vAlign w:val="center"/>
          </w:tcPr>
          <w:p w14:paraId="5770A247" w14:textId="4100BB2D"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&lt;0.001*</w:t>
            </w:r>
          </w:p>
        </w:tc>
      </w:tr>
      <w:tr w:rsidR="00BA56AD" w:rsidRPr="00585421" w14:paraId="085374F3"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5D114DC4" w14:textId="77777777" w:rsidR="00BA56AD" w:rsidRPr="00585421" w:rsidRDefault="00BA56AD" w:rsidP="00D3559B">
            <w:pPr>
              <w:jc w:val="center"/>
              <w:rPr>
                <w:rFonts w:asciiTheme="majorBidi" w:hAnsiTheme="majorBidi" w:cstheme="majorBidi"/>
              </w:rPr>
            </w:pPr>
          </w:p>
        </w:tc>
        <w:tc>
          <w:tcPr>
            <w:tcW w:w="812" w:type="pct"/>
            <w:vAlign w:val="center"/>
          </w:tcPr>
          <w:p w14:paraId="7BE1533B" w14:textId="04BA371E"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Luminal B</w:t>
            </w:r>
          </w:p>
        </w:tc>
        <w:tc>
          <w:tcPr>
            <w:tcW w:w="913" w:type="pct"/>
            <w:vAlign w:val="center"/>
          </w:tcPr>
          <w:p w14:paraId="0E430861" w14:textId="76E12D25"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15(15%)</w:t>
            </w:r>
          </w:p>
        </w:tc>
        <w:tc>
          <w:tcPr>
            <w:tcW w:w="864" w:type="pct"/>
            <w:noWrap/>
            <w:vAlign w:val="center"/>
          </w:tcPr>
          <w:p w14:paraId="3CA53426" w14:textId="14509A76"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 (5.26%)</w:t>
            </w:r>
          </w:p>
        </w:tc>
        <w:tc>
          <w:tcPr>
            <w:tcW w:w="779" w:type="pct"/>
            <w:vAlign w:val="center"/>
          </w:tcPr>
          <w:p w14:paraId="28CE7783" w14:textId="734263A0"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12 (27.91%)</w:t>
            </w:r>
          </w:p>
        </w:tc>
        <w:tc>
          <w:tcPr>
            <w:tcW w:w="485" w:type="pct"/>
            <w:vMerge/>
            <w:noWrap/>
            <w:vAlign w:val="center"/>
          </w:tcPr>
          <w:p w14:paraId="13CBB109" w14:textId="7777777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BA56AD" w:rsidRPr="00585421" w14:paraId="29DF55C7" w14:textId="77777777" w:rsidTr="00D355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7CEA0C2D" w14:textId="77777777" w:rsidR="00BA56AD" w:rsidRPr="00585421" w:rsidRDefault="00BA56AD" w:rsidP="00D3559B">
            <w:pPr>
              <w:jc w:val="center"/>
              <w:rPr>
                <w:rFonts w:asciiTheme="majorBidi" w:hAnsiTheme="majorBidi" w:cstheme="majorBidi"/>
              </w:rPr>
            </w:pPr>
          </w:p>
        </w:tc>
        <w:tc>
          <w:tcPr>
            <w:tcW w:w="812" w:type="pct"/>
            <w:vAlign w:val="center"/>
          </w:tcPr>
          <w:p w14:paraId="39E216A8" w14:textId="77EA6AE3"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Her2 enriched</w:t>
            </w:r>
          </w:p>
        </w:tc>
        <w:tc>
          <w:tcPr>
            <w:tcW w:w="913" w:type="pct"/>
            <w:vAlign w:val="center"/>
          </w:tcPr>
          <w:p w14:paraId="318BEBB2" w14:textId="77137E1F"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18 (18%)</w:t>
            </w:r>
          </w:p>
        </w:tc>
        <w:tc>
          <w:tcPr>
            <w:tcW w:w="864" w:type="pct"/>
            <w:noWrap/>
            <w:vAlign w:val="center"/>
          </w:tcPr>
          <w:p w14:paraId="5FDDDC23" w14:textId="54F4EB42"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15 (26.32%)</w:t>
            </w:r>
          </w:p>
        </w:tc>
        <w:tc>
          <w:tcPr>
            <w:tcW w:w="779" w:type="pct"/>
            <w:vAlign w:val="center"/>
          </w:tcPr>
          <w:p w14:paraId="5D5307B3" w14:textId="52F21FD0"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 (6.98%)</w:t>
            </w:r>
          </w:p>
        </w:tc>
        <w:tc>
          <w:tcPr>
            <w:tcW w:w="485" w:type="pct"/>
            <w:vMerge/>
            <w:noWrap/>
            <w:vAlign w:val="center"/>
          </w:tcPr>
          <w:p w14:paraId="555B47D3" w14:textId="77777777" w:rsidR="00BA56AD" w:rsidRPr="00585421" w:rsidRDefault="00BA56AD"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p>
        </w:tc>
      </w:tr>
      <w:tr w:rsidR="00BA56AD" w:rsidRPr="00585421" w14:paraId="41BAD92E" w14:textId="77777777" w:rsidTr="00D3559B">
        <w:trPr>
          <w:trHeight w:val="20"/>
        </w:trPr>
        <w:tc>
          <w:tcPr>
            <w:cnfStyle w:val="001000000000" w:firstRow="0" w:lastRow="0" w:firstColumn="1" w:lastColumn="0" w:oddVBand="0" w:evenVBand="0" w:oddHBand="0" w:evenHBand="0" w:firstRowFirstColumn="0" w:firstRowLastColumn="0" w:lastRowFirstColumn="0" w:lastRowLastColumn="0"/>
            <w:tcW w:w="1147" w:type="pct"/>
            <w:gridSpan w:val="2"/>
            <w:vMerge/>
            <w:noWrap/>
            <w:vAlign w:val="center"/>
          </w:tcPr>
          <w:p w14:paraId="34190043" w14:textId="77777777" w:rsidR="00BA56AD" w:rsidRPr="00585421" w:rsidRDefault="00BA56AD" w:rsidP="00D3559B">
            <w:pPr>
              <w:jc w:val="center"/>
              <w:rPr>
                <w:rFonts w:asciiTheme="majorBidi" w:hAnsiTheme="majorBidi" w:cstheme="majorBidi"/>
              </w:rPr>
            </w:pPr>
          </w:p>
        </w:tc>
        <w:tc>
          <w:tcPr>
            <w:tcW w:w="812" w:type="pct"/>
            <w:vAlign w:val="center"/>
          </w:tcPr>
          <w:p w14:paraId="3E2BD618" w14:textId="382A93B3"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585421">
              <w:rPr>
                <w:rFonts w:asciiTheme="majorBidi" w:eastAsia="Times New Roman" w:hAnsiTheme="majorBidi" w:cstheme="majorBidi"/>
                <w:b/>
                <w:bCs/>
                <w:lang w:eastAsia="en-GB"/>
              </w:rPr>
              <w:t>Basal</w:t>
            </w:r>
          </w:p>
        </w:tc>
        <w:tc>
          <w:tcPr>
            <w:tcW w:w="913" w:type="pct"/>
            <w:vAlign w:val="center"/>
          </w:tcPr>
          <w:p w14:paraId="32C122B2" w14:textId="547119A3"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20 (20%)</w:t>
            </w:r>
          </w:p>
        </w:tc>
        <w:tc>
          <w:tcPr>
            <w:tcW w:w="864" w:type="pct"/>
            <w:noWrap/>
            <w:vAlign w:val="center"/>
          </w:tcPr>
          <w:p w14:paraId="365CE78C" w14:textId="2DBB4A6D"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20 (35.09%)</w:t>
            </w:r>
          </w:p>
        </w:tc>
        <w:tc>
          <w:tcPr>
            <w:tcW w:w="779" w:type="pct"/>
            <w:vAlign w:val="center"/>
          </w:tcPr>
          <w:p w14:paraId="252BBA61" w14:textId="0523059A"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 (0%)</w:t>
            </w:r>
          </w:p>
        </w:tc>
        <w:tc>
          <w:tcPr>
            <w:tcW w:w="485" w:type="pct"/>
            <w:vMerge/>
            <w:noWrap/>
            <w:vAlign w:val="center"/>
          </w:tcPr>
          <w:p w14:paraId="1999F0E2" w14:textId="77777777" w:rsidR="00BA56AD" w:rsidRPr="00585421" w:rsidRDefault="00BA56AD"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bl>
    <w:p w14:paraId="1EEBE298" w14:textId="5D35A842" w:rsidR="00FC039A" w:rsidRPr="008F3B3E" w:rsidRDefault="008F3B3E" w:rsidP="008F3B3E">
      <w:pPr>
        <w:pStyle w:val="F-note"/>
        <w:rPr>
          <w:rFonts w:eastAsia="Calibri"/>
          <w:sz w:val="18"/>
          <w:szCs w:val="18"/>
        </w:rPr>
      </w:pPr>
      <w:bookmarkStart w:id="5" w:name="_Hlk199760464"/>
      <w:r w:rsidRPr="008F3B3E">
        <w:rPr>
          <w:rFonts w:eastAsia="Calibri"/>
          <w:sz w:val="18"/>
          <w:szCs w:val="18"/>
        </w:rPr>
        <w:t>Data presents as Mean± SD</w:t>
      </w:r>
      <w:r>
        <w:rPr>
          <w:rFonts w:eastAsia="Calibri"/>
          <w:sz w:val="18"/>
          <w:szCs w:val="18"/>
        </w:rPr>
        <w:t xml:space="preserve">, </w:t>
      </w:r>
      <w:r w:rsidRPr="008F3B3E">
        <w:rPr>
          <w:rFonts w:eastAsia="Calibri"/>
          <w:sz w:val="18"/>
          <w:szCs w:val="18"/>
        </w:rPr>
        <w:t>Range</w:t>
      </w:r>
      <w:r>
        <w:rPr>
          <w:rFonts w:eastAsia="Calibri"/>
          <w:sz w:val="18"/>
          <w:szCs w:val="18"/>
        </w:rPr>
        <w:t xml:space="preserve"> </w:t>
      </w:r>
      <w:r w:rsidRPr="008F3B3E">
        <w:rPr>
          <w:rFonts w:eastAsia="Calibri"/>
          <w:sz w:val="18"/>
          <w:szCs w:val="18"/>
        </w:rPr>
        <w:t>or frequency (%)</w:t>
      </w:r>
      <w:r>
        <w:rPr>
          <w:rFonts w:eastAsia="Calibri"/>
          <w:sz w:val="18"/>
          <w:szCs w:val="18"/>
        </w:rPr>
        <w:t xml:space="preserve">. </w:t>
      </w:r>
      <w:bookmarkEnd w:id="5"/>
      <w:r w:rsidR="00BA56AD" w:rsidRPr="00BA56AD">
        <w:rPr>
          <w:rFonts w:eastAsia="Calibri"/>
          <w:sz w:val="18"/>
          <w:szCs w:val="18"/>
        </w:rPr>
        <w:t>OCP: oral contraceptive pills.</w:t>
      </w:r>
      <w:r w:rsidR="00BA56AD" w:rsidRPr="00BA56AD">
        <w:rPr>
          <w:sz w:val="18"/>
          <w:szCs w:val="18"/>
        </w:rPr>
        <w:t xml:space="preserve"> </w:t>
      </w:r>
      <w:r w:rsidR="00BA56AD" w:rsidRPr="00BA56AD">
        <w:rPr>
          <w:rFonts w:eastAsia="Calibri"/>
          <w:sz w:val="18"/>
          <w:szCs w:val="18"/>
        </w:rPr>
        <w:t>PLR: Platelet to lymphocytic ratio,</w:t>
      </w:r>
      <w:r w:rsidR="00BA56AD" w:rsidRPr="00BA56AD">
        <w:t xml:space="preserve"> </w:t>
      </w:r>
      <w:r w:rsidR="00BA56AD" w:rsidRPr="00BA56AD">
        <w:rPr>
          <w:rFonts w:eastAsia="Calibri"/>
          <w:sz w:val="18"/>
          <w:szCs w:val="18"/>
        </w:rPr>
        <w:t>ILC: Invasive lobular carcinoma, IDC: Invasive ductal carcinoma, DCI: Ductal carcinoma in situ, PLR : Platelet to lymphocytic ratio. PLR: Platelet to lymphocytic ratio, WBCs: white blood count, PNR: platelet-to-neutrophil ratio *: statistically significant P value &lt;0.05.</w:t>
      </w:r>
    </w:p>
    <w:p w14:paraId="4A937007" w14:textId="77777777" w:rsidR="00FC039A" w:rsidRPr="00DF16A5" w:rsidRDefault="00FC039A">
      <w:pPr>
        <w:rPr>
          <w:rFonts w:ascii="Times New Roman" w:eastAsia="Calibri" w:hAnsi="Times New Roman" w:cs="Times New Roman"/>
          <w:b/>
          <w:bCs/>
          <w:sz w:val="24"/>
          <w:szCs w:val="24"/>
          <w:highlight w:val="yellow"/>
        </w:rPr>
      </w:pPr>
      <w:r w:rsidRPr="00DF16A5">
        <w:rPr>
          <w:rFonts w:ascii="Times New Roman" w:eastAsia="Calibri" w:hAnsi="Times New Roman" w:cs="Times New Roman"/>
          <w:b/>
          <w:bCs/>
          <w:sz w:val="24"/>
          <w:szCs w:val="24"/>
          <w:highlight w:val="yellow"/>
        </w:rPr>
        <w:br w:type="page"/>
      </w:r>
    </w:p>
    <w:p w14:paraId="3843B596" w14:textId="41F6993B" w:rsidR="00D3559B" w:rsidRPr="00D3559B" w:rsidRDefault="00D3559B" w:rsidP="00D3559B">
      <w:pPr>
        <w:pStyle w:val="NoSpacing"/>
      </w:pPr>
      <w:r>
        <w:lastRenderedPageBreak/>
        <w:t xml:space="preserve">Table </w:t>
      </w:r>
      <w:r>
        <w:fldChar w:fldCharType="begin"/>
      </w:r>
      <w:r>
        <w:instrText xml:space="preserve"> SEQ Table \* ARABIC </w:instrText>
      </w:r>
      <w:r>
        <w:fldChar w:fldCharType="separate"/>
      </w:r>
      <w:r w:rsidR="00B43D54">
        <w:rPr>
          <w:noProof/>
        </w:rPr>
        <w:t>2</w:t>
      </w:r>
      <w:r>
        <w:fldChar w:fldCharType="end"/>
      </w:r>
      <w:r w:rsidR="00FC039A" w:rsidRPr="00D3559B">
        <w:t xml:space="preserve">: </w:t>
      </w:r>
      <w:r w:rsidR="00585421" w:rsidRPr="00D3559B">
        <w:t>Tumor classification (TNM) before treatment</w:t>
      </w:r>
      <w:r w:rsidR="00DE37CF" w:rsidRPr="00D3559B">
        <w:t>, s</w:t>
      </w:r>
      <w:r w:rsidR="00DE37CF" w:rsidRPr="00D3559B">
        <w:t>tages</w:t>
      </w:r>
      <w:r w:rsidR="00DE37CF" w:rsidRPr="00D3559B">
        <w:t xml:space="preserve">, </w:t>
      </w:r>
      <w:r w:rsidR="00585421" w:rsidRPr="00D3559B">
        <w:t xml:space="preserve"> </w:t>
      </w:r>
      <w:r w:rsidR="00DE37CF" w:rsidRPr="00D3559B">
        <w:t>i</w:t>
      </w:r>
      <w:r w:rsidR="00DE37CF" w:rsidRPr="00D3559B">
        <w:t xml:space="preserve">mmunohistochemical findings </w:t>
      </w:r>
      <w:r w:rsidR="00DE37CF" w:rsidRPr="00D3559B">
        <w:t xml:space="preserve">and </w:t>
      </w:r>
      <w:r w:rsidR="00DE37CF" w:rsidRPr="00D3559B">
        <w:t xml:space="preserve">KI67 </w:t>
      </w:r>
      <w:r w:rsidR="00585421" w:rsidRPr="00D3559B">
        <w:t>of the studied groups regarding PLR</w:t>
      </w:r>
    </w:p>
    <w:tbl>
      <w:tblPr>
        <w:tblStyle w:val="GridTable6Colorful11"/>
        <w:tblW w:w="5000" w:type="pct"/>
        <w:tblLayout w:type="fixed"/>
        <w:tblLook w:val="04A0" w:firstRow="1" w:lastRow="0" w:firstColumn="1" w:lastColumn="0" w:noHBand="0" w:noVBand="1"/>
      </w:tblPr>
      <w:tblGrid>
        <w:gridCol w:w="922"/>
        <w:gridCol w:w="1483"/>
        <w:gridCol w:w="1559"/>
        <w:gridCol w:w="1578"/>
        <w:gridCol w:w="1930"/>
        <w:gridCol w:w="1158"/>
      </w:tblGrid>
      <w:tr w:rsidR="00585421" w:rsidRPr="00DE37CF" w14:paraId="0A801E8B" w14:textId="77777777" w:rsidTr="00DE37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3" w:type="pct"/>
            <w:gridSpan w:val="2"/>
            <w:noWrap/>
            <w:vAlign w:val="center"/>
            <w:hideMark/>
          </w:tcPr>
          <w:p w14:paraId="5E8881FD" w14:textId="77777777" w:rsidR="00585421" w:rsidRPr="00DE37CF" w:rsidRDefault="00585421" w:rsidP="00585421">
            <w:pPr>
              <w:jc w:val="center"/>
              <w:rPr>
                <w:rFonts w:asciiTheme="majorBidi" w:eastAsia="Times New Roman" w:hAnsiTheme="majorBidi" w:cstheme="majorBidi"/>
                <w:color w:val="auto"/>
                <w:lang w:eastAsia="en-GB"/>
              </w:rPr>
            </w:pPr>
          </w:p>
        </w:tc>
        <w:tc>
          <w:tcPr>
            <w:tcW w:w="903" w:type="pct"/>
            <w:vAlign w:val="center"/>
          </w:tcPr>
          <w:p w14:paraId="4690F1D0" w14:textId="0E8390D3" w:rsidR="00585421" w:rsidRPr="00DE37CF" w:rsidRDefault="00585421" w:rsidP="0058542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Total (n=100)</w:t>
            </w:r>
          </w:p>
        </w:tc>
        <w:tc>
          <w:tcPr>
            <w:tcW w:w="914" w:type="pct"/>
            <w:noWrap/>
            <w:vAlign w:val="center"/>
          </w:tcPr>
          <w:p w14:paraId="35EFA073" w14:textId="3079AA8F" w:rsidR="00585421" w:rsidRPr="00DE37CF" w:rsidRDefault="00585421" w:rsidP="00585421">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lang w:eastAsia="en-GB"/>
              </w:rPr>
            </w:pPr>
            <w:r w:rsidRPr="00DE37CF">
              <w:rPr>
                <w:rFonts w:asciiTheme="majorBidi" w:hAnsiTheme="majorBidi" w:cstheme="majorBidi"/>
              </w:rPr>
              <w:t>High PLR &gt;150 (n=57)</w:t>
            </w:r>
          </w:p>
        </w:tc>
        <w:tc>
          <w:tcPr>
            <w:tcW w:w="1118" w:type="pct"/>
            <w:vAlign w:val="center"/>
          </w:tcPr>
          <w:p w14:paraId="44EB37F0" w14:textId="77777777" w:rsidR="00585421" w:rsidRPr="00DE37CF" w:rsidRDefault="00585421" w:rsidP="0058542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Low PLR &lt;150 (n=43)</w:t>
            </w:r>
          </w:p>
        </w:tc>
        <w:tc>
          <w:tcPr>
            <w:tcW w:w="671" w:type="pct"/>
            <w:vAlign w:val="center"/>
          </w:tcPr>
          <w:p w14:paraId="0ECDDC11" w14:textId="77777777" w:rsidR="00585421" w:rsidRPr="00DE37CF" w:rsidRDefault="00585421" w:rsidP="0058542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eastAsia="Times New Roman" w:hAnsiTheme="majorBidi" w:cstheme="majorBidi"/>
                <w:lang w:eastAsia="en-GB"/>
              </w:rPr>
              <w:t>P value</w:t>
            </w:r>
          </w:p>
        </w:tc>
      </w:tr>
      <w:tr w:rsidR="00585421" w:rsidRPr="00DE37CF" w14:paraId="7AFB40ED"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val="restart"/>
            <w:noWrap/>
            <w:vAlign w:val="center"/>
          </w:tcPr>
          <w:p w14:paraId="70206DF8" w14:textId="77777777" w:rsidR="00585421" w:rsidRPr="00DE37CF" w:rsidRDefault="00585421" w:rsidP="00585421">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T</w:t>
            </w:r>
          </w:p>
        </w:tc>
        <w:tc>
          <w:tcPr>
            <w:tcW w:w="859" w:type="pct"/>
            <w:noWrap/>
            <w:vAlign w:val="center"/>
          </w:tcPr>
          <w:p w14:paraId="2727BB21"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T 1</w:t>
            </w:r>
          </w:p>
        </w:tc>
        <w:tc>
          <w:tcPr>
            <w:tcW w:w="903" w:type="pct"/>
            <w:vAlign w:val="center"/>
          </w:tcPr>
          <w:p w14:paraId="39A10177" w14:textId="339CC6E8"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8 (8%)</w:t>
            </w:r>
          </w:p>
        </w:tc>
        <w:tc>
          <w:tcPr>
            <w:tcW w:w="914" w:type="pct"/>
            <w:noWrap/>
            <w:vAlign w:val="center"/>
          </w:tcPr>
          <w:p w14:paraId="3A42BA87" w14:textId="41998570"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1118" w:type="pct"/>
            <w:vAlign w:val="center"/>
          </w:tcPr>
          <w:p w14:paraId="2CFAA935"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8 (18.6%)</w:t>
            </w:r>
          </w:p>
        </w:tc>
        <w:tc>
          <w:tcPr>
            <w:tcW w:w="671" w:type="pct"/>
            <w:vMerge w:val="restart"/>
            <w:vAlign w:val="center"/>
          </w:tcPr>
          <w:p w14:paraId="273A19C4"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0.002*</w:t>
            </w:r>
          </w:p>
        </w:tc>
      </w:tr>
      <w:tr w:rsidR="00585421" w:rsidRPr="00DE37CF" w14:paraId="6D7BE770"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13F6C44E"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7CD58FB7"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T 2</w:t>
            </w:r>
          </w:p>
        </w:tc>
        <w:tc>
          <w:tcPr>
            <w:tcW w:w="903" w:type="pct"/>
            <w:vAlign w:val="center"/>
          </w:tcPr>
          <w:p w14:paraId="5CE05C88" w14:textId="20877545"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68 (68%)</w:t>
            </w:r>
          </w:p>
        </w:tc>
        <w:tc>
          <w:tcPr>
            <w:tcW w:w="914" w:type="pct"/>
            <w:noWrap/>
            <w:vAlign w:val="center"/>
          </w:tcPr>
          <w:p w14:paraId="27F76634" w14:textId="70C1FBA8"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41 (71.93%)</w:t>
            </w:r>
          </w:p>
        </w:tc>
        <w:tc>
          <w:tcPr>
            <w:tcW w:w="1118" w:type="pct"/>
            <w:vAlign w:val="center"/>
          </w:tcPr>
          <w:p w14:paraId="5918A325"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27 (62.79%)</w:t>
            </w:r>
          </w:p>
        </w:tc>
        <w:tc>
          <w:tcPr>
            <w:tcW w:w="671" w:type="pct"/>
            <w:vMerge/>
            <w:vAlign w:val="center"/>
          </w:tcPr>
          <w:p w14:paraId="21379C82"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585421" w:rsidRPr="00DE37CF" w14:paraId="49E93E15"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456AA714"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2798799E"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T 3</w:t>
            </w:r>
          </w:p>
        </w:tc>
        <w:tc>
          <w:tcPr>
            <w:tcW w:w="903" w:type="pct"/>
            <w:vAlign w:val="center"/>
          </w:tcPr>
          <w:p w14:paraId="1BF5CB6B" w14:textId="07AA9A62"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20 (20%)</w:t>
            </w:r>
          </w:p>
        </w:tc>
        <w:tc>
          <w:tcPr>
            <w:tcW w:w="914" w:type="pct"/>
            <w:noWrap/>
            <w:vAlign w:val="center"/>
          </w:tcPr>
          <w:p w14:paraId="1F7E6397" w14:textId="264ABB0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12 (21.05%)</w:t>
            </w:r>
          </w:p>
        </w:tc>
        <w:tc>
          <w:tcPr>
            <w:tcW w:w="1118" w:type="pct"/>
            <w:vAlign w:val="center"/>
          </w:tcPr>
          <w:p w14:paraId="4EBF4C61"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8 (18.6%)</w:t>
            </w:r>
          </w:p>
        </w:tc>
        <w:tc>
          <w:tcPr>
            <w:tcW w:w="671" w:type="pct"/>
            <w:vMerge/>
            <w:vAlign w:val="center"/>
          </w:tcPr>
          <w:p w14:paraId="1BE20BBE"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85421" w:rsidRPr="00DE37CF" w14:paraId="2C8D4DEC"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13FF7F1A"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4BBBC942"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T 4</w:t>
            </w:r>
          </w:p>
        </w:tc>
        <w:tc>
          <w:tcPr>
            <w:tcW w:w="903" w:type="pct"/>
            <w:vAlign w:val="center"/>
          </w:tcPr>
          <w:p w14:paraId="1BEB6D5D" w14:textId="36F14B90"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(4%)</w:t>
            </w:r>
          </w:p>
        </w:tc>
        <w:tc>
          <w:tcPr>
            <w:tcW w:w="914" w:type="pct"/>
            <w:noWrap/>
            <w:vAlign w:val="center"/>
          </w:tcPr>
          <w:p w14:paraId="7E24C762" w14:textId="3F899379"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(7.02%)</w:t>
            </w:r>
          </w:p>
        </w:tc>
        <w:tc>
          <w:tcPr>
            <w:tcW w:w="1118" w:type="pct"/>
            <w:vAlign w:val="center"/>
          </w:tcPr>
          <w:p w14:paraId="6401F5B5"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671" w:type="pct"/>
            <w:vMerge/>
            <w:vAlign w:val="center"/>
          </w:tcPr>
          <w:p w14:paraId="3A3C0B61"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585421" w:rsidRPr="00DE37CF" w14:paraId="74EDB263"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val="restart"/>
            <w:noWrap/>
            <w:vAlign w:val="center"/>
          </w:tcPr>
          <w:p w14:paraId="43F32DBA" w14:textId="77777777" w:rsidR="00585421" w:rsidRPr="00DE37CF" w:rsidRDefault="00585421" w:rsidP="00585421">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N</w:t>
            </w:r>
          </w:p>
        </w:tc>
        <w:tc>
          <w:tcPr>
            <w:tcW w:w="859" w:type="pct"/>
            <w:noWrap/>
            <w:vAlign w:val="center"/>
          </w:tcPr>
          <w:p w14:paraId="632E0DFD"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N0</w:t>
            </w:r>
          </w:p>
        </w:tc>
        <w:tc>
          <w:tcPr>
            <w:tcW w:w="903" w:type="pct"/>
            <w:vAlign w:val="center"/>
          </w:tcPr>
          <w:p w14:paraId="78920DA0" w14:textId="61ECA25C"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19 (19%)</w:t>
            </w:r>
          </w:p>
        </w:tc>
        <w:tc>
          <w:tcPr>
            <w:tcW w:w="914" w:type="pct"/>
            <w:noWrap/>
            <w:vAlign w:val="center"/>
          </w:tcPr>
          <w:p w14:paraId="78DB7F72" w14:textId="31CF4B8C"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7 (12.28%)</w:t>
            </w:r>
          </w:p>
        </w:tc>
        <w:tc>
          <w:tcPr>
            <w:tcW w:w="1118" w:type="pct"/>
            <w:vAlign w:val="center"/>
          </w:tcPr>
          <w:p w14:paraId="17B51EC5"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12 (27.91%)</w:t>
            </w:r>
          </w:p>
        </w:tc>
        <w:tc>
          <w:tcPr>
            <w:tcW w:w="671" w:type="pct"/>
            <w:vMerge w:val="restart"/>
            <w:vAlign w:val="center"/>
          </w:tcPr>
          <w:p w14:paraId="1A6A23D7"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0.063</w:t>
            </w:r>
          </w:p>
        </w:tc>
      </w:tr>
      <w:tr w:rsidR="00585421" w:rsidRPr="00DE37CF" w14:paraId="574810A0"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5DE18483"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2FA57BDE"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N1</w:t>
            </w:r>
          </w:p>
        </w:tc>
        <w:tc>
          <w:tcPr>
            <w:tcW w:w="903" w:type="pct"/>
            <w:vAlign w:val="center"/>
          </w:tcPr>
          <w:p w14:paraId="2656AA5A" w14:textId="4E1D9576"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53 (53%)</w:t>
            </w:r>
          </w:p>
        </w:tc>
        <w:tc>
          <w:tcPr>
            <w:tcW w:w="914" w:type="pct"/>
            <w:noWrap/>
            <w:vAlign w:val="center"/>
          </w:tcPr>
          <w:p w14:paraId="7A8DCB29" w14:textId="1621B62D"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30 (52.63%)</w:t>
            </w:r>
          </w:p>
        </w:tc>
        <w:tc>
          <w:tcPr>
            <w:tcW w:w="1118" w:type="pct"/>
            <w:vAlign w:val="center"/>
          </w:tcPr>
          <w:p w14:paraId="2CB7EA18"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23 (53.49%)</w:t>
            </w:r>
          </w:p>
        </w:tc>
        <w:tc>
          <w:tcPr>
            <w:tcW w:w="671" w:type="pct"/>
            <w:vMerge/>
            <w:vAlign w:val="center"/>
          </w:tcPr>
          <w:p w14:paraId="269C5A7C"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585421" w:rsidRPr="00DE37CF" w14:paraId="305FC955"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02B2B234"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1C6B33D5"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N2</w:t>
            </w:r>
          </w:p>
        </w:tc>
        <w:tc>
          <w:tcPr>
            <w:tcW w:w="903" w:type="pct"/>
            <w:vAlign w:val="center"/>
          </w:tcPr>
          <w:p w14:paraId="42C5ADD6" w14:textId="5FFBBB3D"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28 (28%)</w:t>
            </w:r>
          </w:p>
        </w:tc>
        <w:tc>
          <w:tcPr>
            <w:tcW w:w="914" w:type="pct"/>
            <w:noWrap/>
            <w:vAlign w:val="center"/>
          </w:tcPr>
          <w:p w14:paraId="57B03C09" w14:textId="65D1F58A"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20 (35.09%)</w:t>
            </w:r>
          </w:p>
        </w:tc>
        <w:tc>
          <w:tcPr>
            <w:tcW w:w="1118" w:type="pct"/>
            <w:vAlign w:val="center"/>
          </w:tcPr>
          <w:p w14:paraId="1EFC04F5"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8 (18.6%)</w:t>
            </w:r>
          </w:p>
        </w:tc>
        <w:tc>
          <w:tcPr>
            <w:tcW w:w="671" w:type="pct"/>
            <w:vMerge/>
            <w:vAlign w:val="center"/>
          </w:tcPr>
          <w:p w14:paraId="4556DCC2"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85421" w:rsidRPr="00DE37CF" w14:paraId="0ACFD945"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noWrap/>
            <w:vAlign w:val="center"/>
          </w:tcPr>
          <w:p w14:paraId="65BB86F6" w14:textId="77777777" w:rsidR="00585421" w:rsidRPr="00DE37CF" w:rsidRDefault="00585421" w:rsidP="00585421">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M</w:t>
            </w:r>
          </w:p>
        </w:tc>
        <w:tc>
          <w:tcPr>
            <w:tcW w:w="859" w:type="pct"/>
            <w:noWrap/>
            <w:vAlign w:val="center"/>
          </w:tcPr>
          <w:p w14:paraId="66357756"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M0</w:t>
            </w:r>
          </w:p>
        </w:tc>
        <w:tc>
          <w:tcPr>
            <w:tcW w:w="903" w:type="pct"/>
            <w:vAlign w:val="center"/>
          </w:tcPr>
          <w:p w14:paraId="17276F96" w14:textId="574AF82A"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100 (100%)</w:t>
            </w:r>
          </w:p>
        </w:tc>
        <w:tc>
          <w:tcPr>
            <w:tcW w:w="914" w:type="pct"/>
            <w:noWrap/>
            <w:vAlign w:val="center"/>
          </w:tcPr>
          <w:p w14:paraId="2C3014A1" w14:textId="34AACA80"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57 (100%)</w:t>
            </w:r>
          </w:p>
        </w:tc>
        <w:tc>
          <w:tcPr>
            <w:tcW w:w="1118" w:type="pct"/>
            <w:vAlign w:val="center"/>
          </w:tcPr>
          <w:p w14:paraId="4B943E07"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43 (100%)</w:t>
            </w:r>
          </w:p>
        </w:tc>
        <w:tc>
          <w:tcPr>
            <w:tcW w:w="671" w:type="pct"/>
            <w:vAlign w:val="center"/>
          </w:tcPr>
          <w:p w14:paraId="111C6EB5"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w:t>
            </w:r>
          </w:p>
        </w:tc>
      </w:tr>
      <w:tr w:rsidR="00585421" w:rsidRPr="00DE37CF" w14:paraId="2346F13E"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val="restart"/>
            <w:noWrap/>
            <w:vAlign w:val="center"/>
          </w:tcPr>
          <w:p w14:paraId="2F37ED08" w14:textId="318DBB11" w:rsidR="00585421" w:rsidRPr="00DE37CF" w:rsidRDefault="00585421" w:rsidP="00585421">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Stages</w:t>
            </w:r>
          </w:p>
        </w:tc>
        <w:tc>
          <w:tcPr>
            <w:tcW w:w="859" w:type="pct"/>
            <w:noWrap/>
            <w:vAlign w:val="center"/>
          </w:tcPr>
          <w:p w14:paraId="0F8D1710" w14:textId="254E461B"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I</w:t>
            </w:r>
          </w:p>
        </w:tc>
        <w:tc>
          <w:tcPr>
            <w:tcW w:w="903" w:type="pct"/>
            <w:vAlign w:val="center"/>
          </w:tcPr>
          <w:p w14:paraId="32BA7B68" w14:textId="38E095CF"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(4%)</w:t>
            </w:r>
          </w:p>
        </w:tc>
        <w:tc>
          <w:tcPr>
            <w:tcW w:w="914" w:type="pct"/>
            <w:noWrap/>
            <w:vAlign w:val="center"/>
          </w:tcPr>
          <w:p w14:paraId="371D2045" w14:textId="2AC508A6"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1118" w:type="pct"/>
            <w:vAlign w:val="center"/>
          </w:tcPr>
          <w:p w14:paraId="736BC896" w14:textId="63E990E9"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(9.3%)</w:t>
            </w:r>
          </w:p>
        </w:tc>
        <w:tc>
          <w:tcPr>
            <w:tcW w:w="671" w:type="pct"/>
            <w:vMerge w:val="restart"/>
            <w:vAlign w:val="center"/>
          </w:tcPr>
          <w:p w14:paraId="08FB1450" w14:textId="2434839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&lt;0.001*</w:t>
            </w:r>
          </w:p>
        </w:tc>
      </w:tr>
      <w:tr w:rsidR="00585421" w:rsidRPr="00DE37CF" w14:paraId="1E4D1CCD"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47BAFF1E"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6BD9ECD3" w14:textId="0F56A65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IIA</w:t>
            </w:r>
          </w:p>
        </w:tc>
        <w:tc>
          <w:tcPr>
            <w:tcW w:w="903" w:type="pct"/>
            <w:vAlign w:val="center"/>
          </w:tcPr>
          <w:p w14:paraId="225F4D12" w14:textId="1AE0023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15 (15%)</w:t>
            </w:r>
          </w:p>
        </w:tc>
        <w:tc>
          <w:tcPr>
            <w:tcW w:w="914" w:type="pct"/>
            <w:noWrap/>
            <w:vAlign w:val="center"/>
          </w:tcPr>
          <w:p w14:paraId="3D1C6D1A" w14:textId="126914DC"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 (5.26%)</w:t>
            </w:r>
          </w:p>
        </w:tc>
        <w:tc>
          <w:tcPr>
            <w:tcW w:w="1118" w:type="pct"/>
            <w:vAlign w:val="center"/>
          </w:tcPr>
          <w:p w14:paraId="069255D1" w14:textId="64520A12"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12 (27.91%)</w:t>
            </w:r>
          </w:p>
        </w:tc>
        <w:tc>
          <w:tcPr>
            <w:tcW w:w="671" w:type="pct"/>
            <w:vMerge/>
            <w:vAlign w:val="center"/>
          </w:tcPr>
          <w:p w14:paraId="36F2DE76"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585421" w:rsidRPr="00DE37CF" w14:paraId="240817D4"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0172735F"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1EC0C1C8" w14:textId="6586D86F"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IIIA</w:t>
            </w:r>
          </w:p>
        </w:tc>
        <w:tc>
          <w:tcPr>
            <w:tcW w:w="903" w:type="pct"/>
            <w:vAlign w:val="center"/>
          </w:tcPr>
          <w:p w14:paraId="63D6C6F5" w14:textId="1EC1AD8E"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32 (32%)</w:t>
            </w:r>
          </w:p>
        </w:tc>
        <w:tc>
          <w:tcPr>
            <w:tcW w:w="914" w:type="pct"/>
            <w:noWrap/>
            <w:vAlign w:val="center"/>
          </w:tcPr>
          <w:p w14:paraId="419B9E47" w14:textId="3A593FB0"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20 (35.09%)</w:t>
            </w:r>
          </w:p>
        </w:tc>
        <w:tc>
          <w:tcPr>
            <w:tcW w:w="1118" w:type="pct"/>
            <w:vAlign w:val="center"/>
          </w:tcPr>
          <w:p w14:paraId="0A13CFEE" w14:textId="0CED130A"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12 (27.91%)</w:t>
            </w:r>
          </w:p>
        </w:tc>
        <w:tc>
          <w:tcPr>
            <w:tcW w:w="671" w:type="pct"/>
            <w:vMerge/>
            <w:vAlign w:val="center"/>
          </w:tcPr>
          <w:p w14:paraId="351C9189"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85421" w:rsidRPr="00DE37CF" w14:paraId="302E716A"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18856D78"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51C54512" w14:textId="00C1ABFB"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IIB</w:t>
            </w:r>
          </w:p>
        </w:tc>
        <w:tc>
          <w:tcPr>
            <w:tcW w:w="903" w:type="pct"/>
            <w:vAlign w:val="center"/>
          </w:tcPr>
          <w:p w14:paraId="17F7B163" w14:textId="072BF58F"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45 (45%)</w:t>
            </w:r>
          </w:p>
        </w:tc>
        <w:tc>
          <w:tcPr>
            <w:tcW w:w="914" w:type="pct"/>
            <w:noWrap/>
            <w:vAlign w:val="center"/>
          </w:tcPr>
          <w:p w14:paraId="145CE162" w14:textId="7E0020C6"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30 (52.63%)</w:t>
            </w:r>
          </w:p>
        </w:tc>
        <w:tc>
          <w:tcPr>
            <w:tcW w:w="1118" w:type="pct"/>
            <w:vAlign w:val="center"/>
          </w:tcPr>
          <w:p w14:paraId="4A3F2BD7" w14:textId="65F64A55"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15 (34.88%)</w:t>
            </w:r>
          </w:p>
        </w:tc>
        <w:tc>
          <w:tcPr>
            <w:tcW w:w="671" w:type="pct"/>
            <w:vMerge/>
            <w:vAlign w:val="center"/>
          </w:tcPr>
          <w:p w14:paraId="7481BCA1"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585421" w:rsidRPr="00DE37CF" w14:paraId="1C272DF4"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7E93C5E7"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061C35DE" w14:textId="261A9F84"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IIIB</w:t>
            </w:r>
          </w:p>
        </w:tc>
        <w:tc>
          <w:tcPr>
            <w:tcW w:w="903" w:type="pct"/>
            <w:vAlign w:val="center"/>
          </w:tcPr>
          <w:p w14:paraId="034B3E60" w14:textId="3C7821AD"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(4%)</w:t>
            </w:r>
          </w:p>
        </w:tc>
        <w:tc>
          <w:tcPr>
            <w:tcW w:w="914" w:type="pct"/>
            <w:noWrap/>
            <w:vAlign w:val="center"/>
          </w:tcPr>
          <w:p w14:paraId="78A4893E" w14:textId="348E8934"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(7.02%)</w:t>
            </w:r>
          </w:p>
        </w:tc>
        <w:tc>
          <w:tcPr>
            <w:tcW w:w="1118" w:type="pct"/>
            <w:vAlign w:val="center"/>
          </w:tcPr>
          <w:p w14:paraId="5B31FB59" w14:textId="5B326010"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671" w:type="pct"/>
            <w:vMerge/>
            <w:vAlign w:val="center"/>
          </w:tcPr>
          <w:p w14:paraId="27845E6C"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85421" w:rsidRPr="00DE37CF" w14:paraId="364AF13B"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val="restart"/>
            <w:noWrap/>
            <w:vAlign w:val="center"/>
          </w:tcPr>
          <w:p w14:paraId="3A02AE41" w14:textId="2313111D" w:rsidR="00585421" w:rsidRPr="00DE37CF" w:rsidRDefault="00585421" w:rsidP="00585421">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ER</w:t>
            </w:r>
          </w:p>
        </w:tc>
        <w:tc>
          <w:tcPr>
            <w:tcW w:w="859" w:type="pct"/>
            <w:noWrap/>
            <w:vAlign w:val="center"/>
          </w:tcPr>
          <w:p w14:paraId="13E3BD92" w14:textId="2D843A23"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Positive</w:t>
            </w:r>
          </w:p>
        </w:tc>
        <w:tc>
          <w:tcPr>
            <w:tcW w:w="903" w:type="pct"/>
            <w:vAlign w:val="center"/>
          </w:tcPr>
          <w:p w14:paraId="22EC483B" w14:textId="2FC5AC41"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73 (73%)</w:t>
            </w:r>
          </w:p>
        </w:tc>
        <w:tc>
          <w:tcPr>
            <w:tcW w:w="914" w:type="pct"/>
            <w:noWrap/>
            <w:vAlign w:val="center"/>
          </w:tcPr>
          <w:p w14:paraId="5D9BD021" w14:textId="12E0885B"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34 (59.65%)</w:t>
            </w:r>
          </w:p>
        </w:tc>
        <w:tc>
          <w:tcPr>
            <w:tcW w:w="1118" w:type="pct"/>
            <w:vAlign w:val="center"/>
          </w:tcPr>
          <w:p w14:paraId="3D8C73E1" w14:textId="4ADBBD69"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39 (90.7%)</w:t>
            </w:r>
          </w:p>
        </w:tc>
        <w:tc>
          <w:tcPr>
            <w:tcW w:w="671" w:type="pct"/>
            <w:vMerge w:val="restart"/>
            <w:vAlign w:val="center"/>
          </w:tcPr>
          <w:p w14:paraId="50465C2C" w14:textId="7D59CCF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b/>
                <w:bCs/>
              </w:rPr>
              <w:t>0.005*</w:t>
            </w:r>
          </w:p>
        </w:tc>
      </w:tr>
      <w:tr w:rsidR="00585421" w:rsidRPr="00DE37CF" w14:paraId="142A7900"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63C9EE45"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54C6BD28" w14:textId="3C70C2C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Negative</w:t>
            </w:r>
          </w:p>
        </w:tc>
        <w:tc>
          <w:tcPr>
            <w:tcW w:w="903" w:type="pct"/>
            <w:vAlign w:val="center"/>
          </w:tcPr>
          <w:p w14:paraId="67539D8B" w14:textId="4D6E177F"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27 (27%)</w:t>
            </w:r>
          </w:p>
        </w:tc>
        <w:tc>
          <w:tcPr>
            <w:tcW w:w="914" w:type="pct"/>
            <w:noWrap/>
            <w:vAlign w:val="center"/>
          </w:tcPr>
          <w:p w14:paraId="0DCFBA8F" w14:textId="6AFE4161"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23 (40.35%)</w:t>
            </w:r>
          </w:p>
        </w:tc>
        <w:tc>
          <w:tcPr>
            <w:tcW w:w="1118" w:type="pct"/>
            <w:vAlign w:val="center"/>
          </w:tcPr>
          <w:p w14:paraId="7534CA5A" w14:textId="371F1715"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(9.3%)</w:t>
            </w:r>
          </w:p>
        </w:tc>
        <w:tc>
          <w:tcPr>
            <w:tcW w:w="671" w:type="pct"/>
            <w:vMerge/>
            <w:vAlign w:val="center"/>
          </w:tcPr>
          <w:p w14:paraId="0543C6B3"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85421" w:rsidRPr="00DE37CF" w14:paraId="429F04D5"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val="restart"/>
            <w:noWrap/>
            <w:vAlign w:val="center"/>
          </w:tcPr>
          <w:p w14:paraId="0244631F" w14:textId="69893F82" w:rsidR="00585421" w:rsidRPr="00DE37CF" w:rsidRDefault="00585421" w:rsidP="00585421">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PR</w:t>
            </w:r>
          </w:p>
        </w:tc>
        <w:tc>
          <w:tcPr>
            <w:tcW w:w="859" w:type="pct"/>
            <w:noWrap/>
            <w:vAlign w:val="center"/>
          </w:tcPr>
          <w:p w14:paraId="149B3C09" w14:textId="5156602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Positive</w:t>
            </w:r>
          </w:p>
        </w:tc>
        <w:tc>
          <w:tcPr>
            <w:tcW w:w="903" w:type="pct"/>
            <w:vAlign w:val="center"/>
          </w:tcPr>
          <w:p w14:paraId="225AD959" w14:textId="138853D5"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76 (76%)</w:t>
            </w:r>
          </w:p>
        </w:tc>
        <w:tc>
          <w:tcPr>
            <w:tcW w:w="914" w:type="pct"/>
            <w:noWrap/>
            <w:vAlign w:val="center"/>
          </w:tcPr>
          <w:p w14:paraId="1250FF08" w14:textId="3EC54962"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33 (57.89%)</w:t>
            </w:r>
          </w:p>
        </w:tc>
        <w:tc>
          <w:tcPr>
            <w:tcW w:w="1118" w:type="pct"/>
            <w:vAlign w:val="center"/>
          </w:tcPr>
          <w:p w14:paraId="48548543" w14:textId="319D1CC1"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43 (100%)</w:t>
            </w:r>
          </w:p>
        </w:tc>
        <w:tc>
          <w:tcPr>
            <w:tcW w:w="671" w:type="pct"/>
            <w:vMerge w:val="restart"/>
            <w:vAlign w:val="center"/>
          </w:tcPr>
          <w:p w14:paraId="6D892D62" w14:textId="7919277F"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b/>
                <w:bCs/>
              </w:rPr>
              <w:t>&lt;0.001*</w:t>
            </w:r>
          </w:p>
        </w:tc>
      </w:tr>
      <w:tr w:rsidR="00585421" w:rsidRPr="00DE37CF" w14:paraId="5DBB4DCD"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0DBB623B"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68B42F3F" w14:textId="75A48850"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Negative</w:t>
            </w:r>
          </w:p>
        </w:tc>
        <w:tc>
          <w:tcPr>
            <w:tcW w:w="903" w:type="pct"/>
            <w:vAlign w:val="center"/>
          </w:tcPr>
          <w:p w14:paraId="63857E78" w14:textId="7004CD0C"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24 (24%)</w:t>
            </w:r>
          </w:p>
        </w:tc>
        <w:tc>
          <w:tcPr>
            <w:tcW w:w="914" w:type="pct"/>
            <w:noWrap/>
            <w:vAlign w:val="center"/>
          </w:tcPr>
          <w:p w14:paraId="1351A1BB" w14:textId="7364DE05"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24 (42.11%)</w:t>
            </w:r>
          </w:p>
        </w:tc>
        <w:tc>
          <w:tcPr>
            <w:tcW w:w="1118" w:type="pct"/>
            <w:vAlign w:val="center"/>
          </w:tcPr>
          <w:p w14:paraId="3DB63822" w14:textId="7FA651B6"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671" w:type="pct"/>
            <w:vMerge/>
            <w:vAlign w:val="center"/>
          </w:tcPr>
          <w:p w14:paraId="129448D8"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85421" w:rsidRPr="00DE37CF" w14:paraId="02785E43"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val="restart"/>
            <w:noWrap/>
            <w:vAlign w:val="center"/>
          </w:tcPr>
          <w:p w14:paraId="2731C762" w14:textId="5EC4F1E7" w:rsidR="00585421" w:rsidRPr="00DE37CF" w:rsidRDefault="00585421" w:rsidP="00585421">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HER2</w:t>
            </w:r>
          </w:p>
        </w:tc>
        <w:tc>
          <w:tcPr>
            <w:tcW w:w="859" w:type="pct"/>
            <w:noWrap/>
            <w:vAlign w:val="center"/>
          </w:tcPr>
          <w:p w14:paraId="3BBAC24F" w14:textId="44810249"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Positive</w:t>
            </w:r>
          </w:p>
        </w:tc>
        <w:tc>
          <w:tcPr>
            <w:tcW w:w="903" w:type="pct"/>
            <w:vAlign w:val="center"/>
          </w:tcPr>
          <w:p w14:paraId="06BD2406" w14:textId="033B27D2"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18 (18%)</w:t>
            </w:r>
          </w:p>
        </w:tc>
        <w:tc>
          <w:tcPr>
            <w:tcW w:w="914" w:type="pct"/>
            <w:noWrap/>
            <w:vAlign w:val="center"/>
          </w:tcPr>
          <w:p w14:paraId="211BAD0F" w14:textId="2A99A28A"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15 (26.32%)</w:t>
            </w:r>
          </w:p>
        </w:tc>
        <w:tc>
          <w:tcPr>
            <w:tcW w:w="1118" w:type="pct"/>
            <w:vAlign w:val="center"/>
          </w:tcPr>
          <w:p w14:paraId="3DCAD8BD" w14:textId="62FD3F81"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 (6.98%)</w:t>
            </w:r>
          </w:p>
        </w:tc>
        <w:tc>
          <w:tcPr>
            <w:tcW w:w="671" w:type="pct"/>
            <w:vMerge w:val="restart"/>
            <w:vAlign w:val="center"/>
          </w:tcPr>
          <w:p w14:paraId="29E99EA8" w14:textId="550D386F"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b/>
                <w:bCs/>
              </w:rPr>
              <w:t>0.012*</w:t>
            </w:r>
          </w:p>
        </w:tc>
      </w:tr>
      <w:tr w:rsidR="00585421" w:rsidRPr="00DE37CF" w14:paraId="702ED81C"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3EBB55EE"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33DC5D6F" w14:textId="5025AC9F"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Negative</w:t>
            </w:r>
          </w:p>
        </w:tc>
        <w:tc>
          <w:tcPr>
            <w:tcW w:w="903" w:type="pct"/>
            <w:vAlign w:val="center"/>
          </w:tcPr>
          <w:p w14:paraId="27F93A3A" w14:textId="0F734A7B"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82 (82%)</w:t>
            </w:r>
          </w:p>
        </w:tc>
        <w:tc>
          <w:tcPr>
            <w:tcW w:w="914" w:type="pct"/>
            <w:noWrap/>
            <w:vAlign w:val="center"/>
          </w:tcPr>
          <w:p w14:paraId="1F3B80D0" w14:textId="287A1A9F"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42 (73.68%)</w:t>
            </w:r>
          </w:p>
        </w:tc>
        <w:tc>
          <w:tcPr>
            <w:tcW w:w="1118" w:type="pct"/>
            <w:vAlign w:val="center"/>
          </w:tcPr>
          <w:p w14:paraId="48C978D0" w14:textId="6F5C08AC"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40 (93.02%)</w:t>
            </w:r>
          </w:p>
        </w:tc>
        <w:tc>
          <w:tcPr>
            <w:tcW w:w="671" w:type="pct"/>
            <w:vMerge/>
            <w:vAlign w:val="center"/>
          </w:tcPr>
          <w:p w14:paraId="742CA7D0"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85421" w:rsidRPr="00DE37CF" w14:paraId="40371D85"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val="restart"/>
            <w:noWrap/>
            <w:vAlign w:val="center"/>
          </w:tcPr>
          <w:p w14:paraId="0FF05194" w14:textId="7B0BD361" w:rsidR="00585421" w:rsidRPr="00DE37CF" w:rsidRDefault="00585421" w:rsidP="00585421">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KI67 (%)</w:t>
            </w:r>
          </w:p>
        </w:tc>
        <w:tc>
          <w:tcPr>
            <w:tcW w:w="859" w:type="pct"/>
            <w:noWrap/>
            <w:vAlign w:val="center"/>
          </w:tcPr>
          <w:p w14:paraId="117657C3" w14:textId="0FB921AF"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eastAsia="Times New Roman" w:hAnsiTheme="majorBidi" w:cstheme="majorBidi"/>
                <w:b/>
                <w:bCs/>
                <w:lang w:eastAsia="en-GB"/>
              </w:rPr>
              <w:t>Mean± SD</w:t>
            </w:r>
          </w:p>
        </w:tc>
        <w:tc>
          <w:tcPr>
            <w:tcW w:w="903" w:type="pct"/>
            <w:vAlign w:val="center"/>
          </w:tcPr>
          <w:p w14:paraId="041181C6" w14:textId="4C4DEA59"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26.52 ± 21.53</w:t>
            </w:r>
          </w:p>
        </w:tc>
        <w:tc>
          <w:tcPr>
            <w:tcW w:w="914" w:type="pct"/>
            <w:noWrap/>
            <w:vAlign w:val="center"/>
          </w:tcPr>
          <w:p w14:paraId="2EAC49AB" w14:textId="7D5209C6"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33.25± 24.51</w:t>
            </w:r>
          </w:p>
        </w:tc>
        <w:tc>
          <w:tcPr>
            <w:tcW w:w="1118" w:type="pct"/>
            <w:vAlign w:val="center"/>
          </w:tcPr>
          <w:p w14:paraId="2292FC91" w14:textId="4F4DDA34"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17.6± 12.22</w:t>
            </w:r>
          </w:p>
        </w:tc>
        <w:tc>
          <w:tcPr>
            <w:tcW w:w="671" w:type="pct"/>
            <w:vMerge w:val="restart"/>
            <w:vAlign w:val="center"/>
          </w:tcPr>
          <w:p w14:paraId="7BEFF92D" w14:textId="0F5CD6B1"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&lt;0.001*</w:t>
            </w:r>
          </w:p>
        </w:tc>
      </w:tr>
      <w:tr w:rsidR="00585421" w:rsidRPr="00DE37CF" w14:paraId="09D7AC5B" w14:textId="77777777" w:rsidTr="00DE37C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6F4D1729"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7B7E85CA" w14:textId="31FBD47C"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eastAsia="Times New Roman" w:hAnsiTheme="majorBidi" w:cstheme="majorBidi"/>
                <w:b/>
                <w:bCs/>
                <w:lang w:eastAsia="en-GB"/>
              </w:rPr>
              <w:t>Range</w:t>
            </w:r>
          </w:p>
        </w:tc>
        <w:tc>
          <w:tcPr>
            <w:tcW w:w="903" w:type="pct"/>
            <w:vAlign w:val="center"/>
          </w:tcPr>
          <w:p w14:paraId="3FDF8700" w14:textId="25136015"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0-70</w:t>
            </w:r>
          </w:p>
        </w:tc>
        <w:tc>
          <w:tcPr>
            <w:tcW w:w="914" w:type="pct"/>
            <w:noWrap/>
            <w:vAlign w:val="center"/>
          </w:tcPr>
          <w:p w14:paraId="7D4AE523" w14:textId="78B8DEAB"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0-70</w:t>
            </w:r>
          </w:p>
        </w:tc>
        <w:tc>
          <w:tcPr>
            <w:tcW w:w="1118" w:type="pct"/>
            <w:vAlign w:val="center"/>
          </w:tcPr>
          <w:p w14:paraId="3D455D43" w14:textId="674347E5"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5-45</w:t>
            </w:r>
          </w:p>
        </w:tc>
        <w:tc>
          <w:tcPr>
            <w:tcW w:w="671" w:type="pct"/>
            <w:vMerge/>
            <w:vAlign w:val="center"/>
          </w:tcPr>
          <w:p w14:paraId="29179C66" w14:textId="77777777" w:rsidR="00585421" w:rsidRPr="00DE37CF" w:rsidRDefault="00585421" w:rsidP="0058542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85421" w:rsidRPr="00DE37CF" w14:paraId="7AF62B0A" w14:textId="77777777" w:rsidTr="00DE37CF">
        <w:trPr>
          <w:trHeight w:val="20"/>
        </w:trPr>
        <w:tc>
          <w:tcPr>
            <w:cnfStyle w:val="001000000000" w:firstRow="0" w:lastRow="0" w:firstColumn="1" w:lastColumn="0" w:oddVBand="0" w:evenVBand="0" w:oddHBand="0" w:evenHBand="0" w:firstRowFirstColumn="0" w:firstRowLastColumn="0" w:lastRowFirstColumn="0" w:lastRowLastColumn="0"/>
            <w:tcW w:w="534" w:type="pct"/>
            <w:vMerge/>
            <w:noWrap/>
            <w:vAlign w:val="center"/>
          </w:tcPr>
          <w:p w14:paraId="265FCA11" w14:textId="77777777" w:rsidR="00585421" w:rsidRPr="00DE37CF" w:rsidRDefault="00585421" w:rsidP="00585421">
            <w:pPr>
              <w:jc w:val="center"/>
              <w:rPr>
                <w:rFonts w:asciiTheme="majorBidi" w:eastAsia="Times New Roman" w:hAnsiTheme="majorBidi" w:cstheme="majorBidi"/>
                <w:lang w:eastAsia="en-GB"/>
              </w:rPr>
            </w:pPr>
          </w:p>
        </w:tc>
        <w:tc>
          <w:tcPr>
            <w:tcW w:w="859" w:type="pct"/>
            <w:noWrap/>
            <w:vAlign w:val="center"/>
          </w:tcPr>
          <w:p w14:paraId="43D7C3BE" w14:textId="50DE07D5"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eastAsia="Times New Roman" w:hAnsiTheme="majorBidi" w:cstheme="majorBidi"/>
                <w:b/>
                <w:bCs/>
                <w:lang w:eastAsia="en-GB"/>
              </w:rPr>
              <w:t>Median (IQR)</w:t>
            </w:r>
          </w:p>
        </w:tc>
        <w:tc>
          <w:tcPr>
            <w:tcW w:w="903" w:type="pct"/>
            <w:vAlign w:val="center"/>
          </w:tcPr>
          <w:p w14:paraId="477D3A7F" w14:textId="70DF511D"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15 (12-5)</w:t>
            </w:r>
          </w:p>
        </w:tc>
        <w:tc>
          <w:tcPr>
            <w:tcW w:w="914" w:type="pct"/>
            <w:noWrap/>
            <w:vAlign w:val="center"/>
          </w:tcPr>
          <w:p w14:paraId="2A39F840" w14:textId="1B2A0D1C"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35(12-60)</w:t>
            </w:r>
          </w:p>
        </w:tc>
        <w:tc>
          <w:tcPr>
            <w:tcW w:w="1118" w:type="pct"/>
            <w:vAlign w:val="center"/>
          </w:tcPr>
          <w:p w14:paraId="0CF56820" w14:textId="3745BABF"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14(10-15)</w:t>
            </w:r>
          </w:p>
        </w:tc>
        <w:tc>
          <w:tcPr>
            <w:tcW w:w="671" w:type="pct"/>
            <w:vMerge/>
            <w:vAlign w:val="center"/>
          </w:tcPr>
          <w:p w14:paraId="3DA841EE" w14:textId="77777777" w:rsidR="00585421" w:rsidRPr="00DE37CF" w:rsidRDefault="00585421" w:rsidP="0058542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582ED2BF" w14:textId="5E040873" w:rsidR="00FC039A" w:rsidRPr="008F3B3E" w:rsidRDefault="008F3B3E" w:rsidP="008F3B3E">
      <w:pPr>
        <w:pStyle w:val="F-note"/>
        <w:rPr>
          <w:rFonts w:eastAsia="Calibri" w:cs="Times New Roman"/>
          <w:b/>
          <w:bCs/>
          <w:highlight w:val="yellow"/>
        </w:rPr>
      </w:pPr>
      <w:bookmarkStart w:id="6" w:name="_Ref132000512"/>
      <w:bookmarkStart w:id="7" w:name="_Toc138656421"/>
      <w:bookmarkStart w:id="8" w:name="_Toc140088126"/>
      <w:r w:rsidRPr="008F3B3E">
        <w:rPr>
          <w:rFonts w:eastAsia="Calibri"/>
          <w:sz w:val="18"/>
          <w:szCs w:val="18"/>
        </w:rPr>
        <w:t xml:space="preserve">Data presents as frequency (%). </w:t>
      </w:r>
      <w:r w:rsidR="00585421" w:rsidRPr="008F3B3E">
        <w:rPr>
          <w:sz w:val="18"/>
          <w:szCs w:val="18"/>
          <w:lang w:val="en-GB"/>
        </w:rPr>
        <w:t xml:space="preserve">T: Primary tumor, N: regional lymph nodes, M: metastasis, ER: </w:t>
      </w:r>
      <w:proofErr w:type="spellStart"/>
      <w:r w:rsidR="00585421" w:rsidRPr="008F3B3E">
        <w:rPr>
          <w:sz w:val="18"/>
          <w:szCs w:val="18"/>
          <w:lang w:val="en-GB"/>
        </w:rPr>
        <w:t>Estrogen</w:t>
      </w:r>
      <w:proofErr w:type="spellEnd"/>
      <w:r w:rsidR="00585421" w:rsidRPr="008F3B3E">
        <w:rPr>
          <w:sz w:val="18"/>
          <w:szCs w:val="18"/>
          <w:lang w:val="en-GB"/>
        </w:rPr>
        <w:t xml:space="preserve"> receptor, PR: progesterone receptor. PLR: Platelet to lymphocytic ratio, HER2: </w:t>
      </w:r>
      <w:bookmarkStart w:id="9" w:name="_Hlk199759921"/>
      <w:r w:rsidR="00585421" w:rsidRPr="008F3B3E">
        <w:rPr>
          <w:sz w:val="18"/>
          <w:szCs w:val="18"/>
          <w:lang w:val="en-GB"/>
        </w:rPr>
        <w:t>human epidermal growth factor receptor 2</w:t>
      </w:r>
      <w:bookmarkEnd w:id="9"/>
      <w:r w:rsidR="00585421" w:rsidRPr="008F3B3E">
        <w:rPr>
          <w:sz w:val="18"/>
          <w:szCs w:val="18"/>
          <w:lang w:val="en-GB"/>
        </w:rPr>
        <w:t>,</w:t>
      </w:r>
      <w:r w:rsidR="00585421" w:rsidRPr="008F3B3E">
        <w:rPr>
          <w:sz w:val="18"/>
          <w:szCs w:val="18"/>
        </w:rPr>
        <w:t xml:space="preserve"> </w:t>
      </w:r>
      <w:r w:rsidR="00585421" w:rsidRPr="008F3B3E">
        <w:rPr>
          <w:sz w:val="18"/>
          <w:szCs w:val="18"/>
          <w:lang w:val="en-GB"/>
        </w:rPr>
        <w:t xml:space="preserve">ER: </w:t>
      </w:r>
      <w:proofErr w:type="spellStart"/>
      <w:r w:rsidR="00585421" w:rsidRPr="008F3B3E">
        <w:rPr>
          <w:sz w:val="18"/>
          <w:szCs w:val="18"/>
          <w:lang w:val="en-GB"/>
        </w:rPr>
        <w:t>Estrogen</w:t>
      </w:r>
      <w:proofErr w:type="spellEnd"/>
      <w:r w:rsidR="00585421" w:rsidRPr="008F3B3E">
        <w:rPr>
          <w:sz w:val="18"/>
          <w:szCs w:val="18"/>
          <w:lang w:val="en-GB"/>
        </w:rPr>
        <w:t xml:space="preserve"> receptor, PR: progesterone receptor. PLR: Platelet to lymphocytic ratio, *: statistically significant P value &lt;0.05. </w:t>
      </w:r>
      <w:r w:rsidR="00FC039A" w:rsidRPr="008F3B3E">
        <w:rPr>
          <w:rFonts w:eastAsia="Calibri" w:cs="Times New Roman"/>
          <w:b/>
          <w:bCs/>
          <w:highlight w:val="yellow"/>
        </w:rPr>
        <w:br w:type="page"/>
      </w:r>
    </w:p>
    <w:p w14:paraId="6852F805" w14:textId="4ADE20DE" w:rsidR="00D3559B" w:rsidRPr="00D3559B" w:rsidRDefault="00D3559B" w:rsidP="00D3559B">
      <w:pPr>
        <w:pStyle w:val="NoSpacing"/>
      </w:pPr>
      <w:r>
        <w:lastRenderedPageBreak/>
        <w:t xml:space="preserve">Table </w:t>
      </w:r>
      <w:r>
        <w:fldChar w:fldCharType="begin"/>
      </w:r>
      <w:r>
        <w:instrText xml:space="preserve"> SEQ Table \* ARABIC </w:instrText>
      </w:r>
      <w:r>
        <w:fldChar w:fldCharType="separate"/>
      </w:r>
      <w:r w:rsidR="00B43D54">
        <w:rPr>
          <w:noProof/>
        </w:rPr>
        <w:t>3</w:t>
      </w:r>
      <w:r>
        <w:fldChar w:fldCharType="end"/>
      </w:r>
      <w:r w:rsidR="00FC039A" w:rsidRPr="00585421">
        <w:t xml:space="preserve">: </w:t>
      </w:r>
      <w:bookmarkEnd w:id="7"/>
      <w:bookmarkEnd w:id="8"/>
      <w:r w:rsidR="00585421" w:rsidRPr="00585421">
        <w:t>Tumor classification (TNM) after treatment of the studied groups regarding PLR</w:t>
      </w:r>
    </w:p>
    <w:tbl>
      <w:tblPr>
        <w:tblStyle w:val="GridTable6Colorful11"/>
        <w:tblW w:w="5000" w:type="pct"/>
        <w:tblLook w:val="04A0" w:firstRow="1" w:lastRow="0" w:firstColumn="1" w:lastColumn="0" w:noHBand="0" w:noVBand="1"/>
      </w:tblPr>
      <w:tblGrid>
        <w:gridCol w:w="821"/>
        <w:gridCol w:w="1017"/>
        <w:gridCol w:w="1842"/>
        <w:gridCol w:w="2049"/>
        <w:gridCol w:w="1838"/>
        <w:gridCol w:w="1063"/>
      </w:tblGrid>
      <w:tr w:rsidR="00D3559B" w:rsidRPr="00585421" w14:paraId="17DD7AC2" w14:textId="77777777" w:rsidTr="008F3B3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65" w:type="pct"/>
            <w:gridSpan w:val="2"/>
            <w:noWrap/>
            <w:vAlign w:val="center"/>
            <w:hideMark/>
          </w:tcPr>
          <w:p w14:paraId="2B2E8EA6" w14:textId="77777777" w:rsidR="00D3559B" w:rsidRPr="00585421" w:rsidRDefault="00D3559B" w:rsidP="00D3559B">
            <w:pPr>
              <w:jc w:val="center"/>
              <w:rPr>
                <w:rFonts w:asciiTheme="majorBidi" w:eastAsia="Times New Roman" w:hAnsiTheme="majorBidi" w:cstheme="majorBidi"/>
                <w:color w:val="auto"/>
                <w:lang w:eastAsia="en-GB"/>
              </w:rPr>
            </w:pPr>
          </w:p>
        </w:tc>
        <w:tc>
          <w:tcPr>
            <w:tcW w:w="1067" w:type="pct"/>
            <w:vAlign w:val="center"/>
          </w:tcPr>
          <w:p w14:paraId="6C9EC4CD" w14:textId="77777777" w:rsidR="00D3559B" w:rsidRPr="00DE37CF"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DE37CF">
              <w:rPr>
                <w:rFonts w:asciiTheme="majorBidi" w:hAnsiTheme="majorBidi" w:cstheme="majorBidi"/>
              </w:rPr>
              <w:t xml:space="preserve">Total </w:t>
            </w:r>
          </w:p>
          <w:p w14:paraId="088103BA" w14:textId="21F0DAC5" w:rsidR="00D3559B" w:rsidRPr="00585421"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(n=100)</w:t>
            </w:r>
          </w:p>
        </w:tc>
        <w:tc>
          <w:tcPr>
            <w:tcW w:w="1187" w:type="pct"/>
            <w:noWrap/>
            <w:vAlign w:val="center"/>
          </w:tcPr>
          <w:p w14:paraId="125437B3" w14:textId="77777777" w:rsidR="008F3B3E"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585421">
              <w:rPr>
                <w:rFonts w:asciiTheme="majorBidi" w:hAnsiTheme="majorBidi" w:cstheme="majorBidi"/>
              </w:rPr>
              <w:t xml:space="preserve">High PLR &gt;150 </w:t>
            </w:r>
          </w:p>
          <w:p w14:paraId="342340C9" w14:textId="29AAA3A2" w:rsidR="00D3559B" w:rsidRPr="00585421"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lang w:eastAsia="en-GB"/>
              </w:rPr>
            </w:pPr>
            <w:r w:rsidRPr="00585421">
              <w:rPr>
                <w:rFonts w:asciiTheme="majorBidi" w:hAnsiTheme="majorBidi" w:cstheme="majorBidi"/>
              </w:rPr>
              <w:t>(n=57)</w:t>
            </w:r>
          </w:p>
        </w:tc>
        <w:tc>
          <w:tcPr>
            <w:tcW w:w="1065" w:type="pct"/>
            <w:vAlign w:val="center"/>
          </w:tcPr>
          <w:p w14:paraId="477927A0" w14:textId="77777777" w:rsidR="00D3559B" w:rsidRPr="00585421"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Low PLR &lt;150 (n=43)</w:t>
            </w:r>
          </w:p>
        </w:tc>
        <w:tc>
          <w:tcPr>
            <w:tcW w:w="616" w:type="pct"/>
            <w:vAlign w:val="center"/>
          </w:tcPr>
          <w:p w14:paraId="0DF1FF58" w14:textId="77777777" w:rsidR="00D3559B" w:rsidRPr="00585421"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eastAsia="Times New Roman" w:hAnsiTheme="majorBidi" w:cstheme="majorBidi"/>
                <w:lang w:eastAsia="en-GB"/>
              </w:rPr>
              <w:t>P value</w:t>
            </w:r>
          </w:p>
        </w:tc>
      </w:tr>
      <w:tr w:rsidR="00D3559B" w:rsidRPr="00585421" w14:paraId="2E46B149"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pct"/>
            <w:vMerge w:val="restart"/>
            <w:noWrap/>
            <w:vAlign w:val="center"/>
          </w:tcPr>
          <w:p w14:paraId="26BB2943" w14:textId="77777777" w:rsidR="00D3559B" w:rsidRPr="00585421" w:rsidRDefault="00D3559B"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T</w:t>
            </w:r>
          </w:p>
        </w:tc>
        <w:tc>
          <w:tcPr>
            <w:tcW w:w="589" w:type="pct"/>
            <w:noWrap/>
            <w:vAlign w:val="center"/>
          </w:tcPr>
          <w:p w14:paraId="752ABF6F"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T0</w:t>
            </w:r>
          </w:p>
        </w:tc>
        <w:tc>
          <w:tcPr>
            <w:tcW w:w="1067" w:type="pct"/>
            <w:vAlign w:val="center"/>
          </w:tcPr>
          <w:p w14:paraId="2B453BD2" w14:textId="4A9744D0"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(4%)</w:t>
            </w:r>
          </w:p>
        </w:tc>
        <w:tc>
          <w:tcPr>
            <w:tcW w:w="1187" w:type="pct"/>
            <w:noWrap/>
            <w:vAlign w:val="center"/>
          </w:tcPr>
          <w:p w14:paraId="03FF0C33" w14:textId="5878BF06"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 (0%)</w:t>
            </w:r>
          </w:p>
        </w:tc>
        <w:tc>
          <w:tcPr>
            <w:tcW w:w="1065" w:type="pct"/>
            <w:vAlign w:val="center"/>
          </w:tcPr>
          <w:p w14:paraId="6A83B234"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(9.3%)</w:t>
            </w:r>
          </w:p>
        </w:tc>
        <w:tc>
          <w:tcPr>
            <w:tcW w:w="616" w:type="pct"/>
            <w:vMerge w:val="restart"/>
            <w:vAlign w:val="center"/>
          </w:tcPr>
          <w:p w14:paraId="59585F23"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&lt;0.001*</w:t>
            </w:r>
          </w:p>
        </w:tc>
      </w:tr>
      <w:tr w:rsidR="00D3559B" w:rsidRPr="00585421" w14:paraId="7563515E"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690C02C0"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0CD279A9"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T1</w:t>
            </w:r>
          </w:p>
        </w:tc>
        <w:tc>
          <w:tcPr>
            <w:tcW w:w="1067" w:type="pct"/>
            <w:vAlign w:val="center"/>
          </w:tcPr>
          <w:p w14:paraId="28BDA69C" w14:textId="2837B4D5"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22 (22%)</w:t>
            </w:r>
          </w:p>
        </w:tc>
        <w:tc>
          <w:tcPr>
            <w:tcW w:w="1187" w:type="pct"/>
            <w:noWrap/>
            <w:vAlign w:val="center"/>
          </w:tcPr>
          <w:p w14:paraId="0192102E" w14:textId="1A14BDAF"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7 (12.28%)</w:t>
            </w:r>
          </w:p>
        </w:tc>
        <w:tc>
          <w:tcPr>
            <w:tcW w:w="1065" w:type="pct"/>
            <w:vAlign w:val="center"/>
          </w:tcPr>
          <w:p w14:paraId="5B8368A3"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15 (34.88%)</w:t>
            </w:r>
          </w:p>
        </w:tc>
        <w:tc>
          <w:tcPr>
            <w:tcW w:w="616" w:type="pct"/>
            <w:vMerge/>
            <w:vAlign w:val="center"/>
          </w:tcPr>
          <w:p w14:paraId="5B520A55"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585421" w14:paraId="0FC92C9B"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7E3571F7"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63620372"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T 1a</w:t>
            </w:r>
          </w:p>
        </w:tc>
        <w:tc>
          <w:tcPr>
            <w:tcW w:w="1067" w:type="pct"/>
            <w:vAlign w:val="center"/>
          </w:tcPr>
          <w:p w14:paraId="31F35FEB" w14:textId="7C211DFA"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(4%)</w:t>
            </w:r>
          </w:p>
        </w:tc>
        <w:tc>
          <w:tcPr>
            <w:tcW w:w="1187" w:type="pct"/>
            <w:noWrap/>
            <w:vAlign w:val="center"/>
          </w:tcPr>
          <w:p w14:paraId="422B09DA" w14:textId="0EAD85D1"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(7.02%)</w:t>
            </w:r>
          </w:p>
        </w:tc>
        <w:tc>
          <w:tcPr>
            <w:tcW w:w="1065" w:type="pct"/>
            <w:vAlign w:val="center"/>
          </w:tcPr>
          <w:p w14:paraId="0825B715"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 (0%)</w:t>
            </w:r>
          </w:p>
        </w:tc>
        <w:tc>
          <w:tcPr>
            <w:tcW w:w="616" w:type="pct"/>
            <w:vMerge/>
            <w:vAlign w:val="center"/>
          </w:tcPr>
          <w:p w14:paraId="29ED4DAA"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3559B" w:rsidRPr="00585421" w14:paraId="3098513C"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33C0F27A"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0C2306B1"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T 1b</w:t>
            </w:r>
          </w:p>
        </w:tc>
        <w:tc>
          <w:tcPr>
            <w:tcW w:w="1067" w:type="pct"/>
            <w:vAlign w:val="center"/>
          </w:tcPr>
          <w:p w14:paraId="6374F6DB" w14:textId="1D87EE6B"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16 (16%)</w:t>
            </w:r>
          </w:p>
        </w:tc>
        <w:tc>
          <w:tcPr>
            <w:tcW w:w="1187" w:type="pct"/>
            <w:noWrap/>
            <w:vAlign w:val="center"/>
          </w:tcPr>
          <w:p w14:paraId="36C47C02" w14:textId="60B38EAA"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(7.02%)</w:t>
            </w:r>
          </w:p>
        </w:tc>
        <w:tc>
          <w:tcPr>
            <w:tcW w:w="1065" w:type="pct"/>
            <w:vAlign w:val="center"/>
          </w:tcPr>
          <w:p w14:paraId="2AD62C0C"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12 (27.91%)</w:t>
            </w:r>
          </w:p>
        </w:tc>
        <w:tc>
          <w:tcPr>
            <w:tcW w:w="616" w:type="pct"/>
            <w:vMerge/>
            <w:vAlign w:val="center"/>
          </w:tcPr>
          <w:p w14:paraId="7564A199"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585421" w14:paraId="060E5705"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5E713EF1"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39887CB7"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T 1c</w:t>
            </w:r>
          </w:p>
        </w:tc>
        <w:tc>
          <w:tcPr>
            <w:tcW w:w="1067" w:type="pct"/>
            <w:vAlign w:val="center"/>
          </w:tcPr>
          <w:p w14:paraId="41EC21A6" w14:textId="02D2363F"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12 (12%)</w:t>
            </w:r>
          </w:p>
        </w:tc>
        <w:tc>
          <w:tcPr>
            <w:tcW w:w="1187" w:type="pct"/>
            <w:noWrap/>
            <w:vAlign w:val="center"/>
          </w:tcPr>
          <w:p w14:paraId="4425582A" w14:textId="192F2D5E"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(7.02%)</w:t>
            </w:r>
          </w:p>
        </w:tc>
        <w:tc>
          <w:tcPr>
            <w:tcW w:w="1065" w:type="pct"/>
            <w:vAlign w:val="center"/>
          </w:tcPr>
          <w:p w14:paraId="67B41B5F"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 (18.6%)</w:t>
            </w:r>
          </w:p>
        </w:tc>
        <w:tc>
          <w:tcPr>
            <w:tcW w:w="616" w:type="pct"/>
            <w:vMerge/>
            <w:vAlign w:val="center"/>
          </w:tcPr>
          <w:p w14:paraId="038AFCBB"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3559B" w:rsidRPr="00585421" w14:paraId="133683CD"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6F2D206C"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3141C59F"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T IIIA</w:t>
            </w:r>
          </w:p>
        </w:tc>
        <w:tc>
          <w:tcPr>
            <w:tcW w:w="1067" w:type="pct"/>
            <w:vAlign w:val="center"/>
          </w:tcPr>
          <w:p w14:paraId="49987BEC" w14:textId="5577CB4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(4%)</w:t>
            </w:r>
          </w:p>
        </w:tc>
        <w:tc>
          <w:tcPr>
            <w:tcW w:w="1187" w:type="pct"/>
            <w:noWrap/>
            <w:vAlign w:val="center"/>
          </w:tcPr>
          <w:p w14:paraId="43473E4D" w14:textId="1AD3C77B"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(7.02%)</w:t>
            </w:r>
          </w:p>
        </w:tc>
        <w:tc>
          <w:tcPr>
            <w:tcW w:w="1065" w:type="pct"/>
            <w:vAlign w:val="center"/>
          </w:tcPr>
          <w:p w14:paraId="1F2DEC23"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 (0%)</w:t>
            </w:r>
          </w:p>
        </w:tc>
        <w:tc>
          <w:tcPr>
            <w:tcW w:w="616" w:type="pct"/>
            <w:vMerge/>
            <w:vAlign w:val="center"/>
          </w:tcPr>
          <w:p w14:paraId="3FC8BE3A"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585421" w14:paraId="220B6DBC"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2D6B02F3"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7D5CF5F2"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T2</w:t>
            </w:r>
          </w:p>
        </w:tc>
        <w:tc>
          <w:tcPr>
            <w:tcW w:w="1067" w:type="pct"/>
            <w:vAlign w:val="center"/>
          </w:tcPr>
          <w:p w14:paraId="41E00387" w14:textId="6FBE4C11"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34 (34%)</w:t>
            </w:r>
          </w:p>
        </w:tc>
        <w:tc>
          <w:tcPr>
            <w:tcW w:w="1187" w:type="pct"/>
            <w:noWrap/>
            <w:vAlign w:val="center"/>
          </w:tcPr>
          <w:p w14:paraId="725444AA" w14:textId="79D6D616"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30 (52.63%)</w:t>
            </w:r>
          </w:p>
        </w:tc>
        <w:tc>
          <w:tcPr>
            <w:tcW w:w="1065" w:type="pct"/>
            <w:vAlign w:val="center"/>
          </w:tcPr>
          <w:p w14:paraId="25DB226C"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(9.3%)</w:t>
            </w:r>
          </w:p>
        </w:tc>
        <w:tc>
          <w:tcPr>
            <w:tcW w:w="616" w:type="pct"/>
            <w:vMerge/>
            <w:vAlign w:val="center"/>
          </w:tcPr>
          <w:p w14:paraId="62C45C07"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3559B" w:rsidRPr="00585421" w14:paraId="135DAC32"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2B7D7C12"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080D8FEA"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T3</w:t>
            </w:r>
          </w:p>
        </w:tc>
        <w:tc>
          <w:tcPr>
            <w:tcW w:w="1067" w:type="pct"/>
            <w:vAlign w:val="center"/>
          </w:tcPr>
          <w:p w14:paraId="351C679B" w14:textId="727920E2"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(4%)</w:t>
            </w:r>
          </w:p>
        </w:tc>
        <w:tc>
          <w:tcPr>
            <w:tcW w:w="1187" w:type="pct"/>
            <w:noWrap/>
            <w:vAlign w:val="center"/>
          </w:tcPr>
          <w:p w14:paraId="0B56C187" w14:textId="49F41D7F"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(7.02%)</w:t>
            </w:r>
          </w:p>
        </w:tc>
        <w:tc>
          <w:tcPr>
            <w:tcW w:w="1065" w:type="pct"/>
            <w:vAlign w:val="center"/>
          </w:tcPr>
          <w:p w14:paraId="1A4B1064"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 (0%)</w:t>
            </w:r>
          </w:p>
        </w:tc>
        <w:tc>
          <w:tcPr>
            <w:tcW w:w="616" w:type="pct"/>
            <w:vMerge/>
            <w:vAlign w:val="center"/>
          </w:tcPr>
          <w:p w14:paraId="4CC09695"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585421" w14:paraId="14C89401"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pct"/>
            <w:vMerge w:val="restart"/>
            <w:noWrap/>
            <w:vAlign w:val="center"/>
          </w:tcPr>
          <w:p w14:paraId="0BA3BA62" w14:textId="77777777" w:rsidR="00D3559B" w:rsidRPr="00585421" w:rsidRDefault="00D3559B"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N</w:t>
            </w:r>
          </w:p>
        </w:tc>
        <w:tc>
          <w:tcPr>
            <w:tcW w:w="589" w:type="pct"/>
            <w:noWrap/>
            <w:vAlign w:val="center"/>
          </w:tcPr>
          <w:p w14:paraId="2331E844"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N0</w:t>
            </w:r>
          </w:p>
        </w:tc>
        <w:tc>
          <w:tcPr>
            <w:tcW w:w="1067" w:type="pct"/>
            <w:vAlign w:val="center"/>
          </w:tcPr>
          <w:p w14:paraId="54448015" w14:textId="68603BB9"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59 (59%)</w:t>
            </w:r>
          </w:p>
        </w:tc>
        <w:tc>
          <w:tcPr>
            <w:tcW w:w="1187" w:type="pct"/>
            <w:noWrap/>
            <w:vAlign w:val="center"/>
          </w:tcPr>
          <w:p w14:paraId="4CA8480D" w14:textId="1DBF7050"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20 (35.09%)</w:t>
            </w:r>
          </w:p>
        </w:tc>
        <w:tc>
          <w:tcPr>
            <w:tcW w:w="1065" w:type="pct"/>
            <w:vAlign w:val="center"/>
          </w:tcPr>
          <w:p w14:paraId="6EE10245"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39 (90.7%)</w:t>
            </w:r>
          </w:p>
        </w:tc>
        <w:tc>
          <w:tcPr>
            <w:tcW w:w="616" w:type="pct"/>
            <w:vMerge w:val="restart"/>
            <w:vAlign w:val="center"/>
          </w:tcPr>
          <w:p w14:paraId="49211251"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b/>
                <w:bCs/>
              </w:rPr>
              <w:t>&lt;0.001*</w:t>
            </w:r>
          </w:p>
        </w:tc>
      </w:tr>
      <w:tr w:rsidR="00D3559B" w:rsidRPr="00585421" w14:paraId="56B76858"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6DE2B763"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2DA246AE"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N1</w:t>
            </w:r>
          </w:p>
        </w:tc>
        <w:tc>
          <w:tcPr>
            <w:tcW w:w="1067" w:type="pct"/>
            <w:vAlign w:val="center"/>
          </w:tcPr>
          <w:p w14:paraId="0D8C5F33" w14:textId="4EE01082"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32 (32%)</w:t>
            </w:r>
          </w:p>
        </w:tc>
        <w:tc>
          <w:tcPr>
            <w:tcW w:w="1187" w:type="pct"/>
            <w:noWrap/>
            <w:vAlign w:val="center"/>
          </w:tcPr>
          <w:p w14:paraId="457E4279" w14:textId="62F2895B"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28 (49.12%)</w:t>
            </w:r>
          </w:p>
        </w:tc>
        <w:tc>
          <w:tcPr>
            <w:tcW w:w="1065" w:type="pct"/>
            <w:vAlign w:val="center"/>
          </w:tcPr>
          <w:p w14:paraId="17C8FDD1"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(9.3%)</w:t>
            </w:r>
          </w:p>
        </w:tc>
        <w:tc>
          <w:tcPr>
            <w:tcW w:w="616" w:type="pct"/>
            <w:vMerge/>
            <w:vAlign w:val="center"/>
          </w:tcPr>
          <w:p w14:paraId="14BDF6F2"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585421" w14:paraId="03852064"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6E1D2EC8"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70989B86" w14:textId="3AD34855"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N1c</w:t>
            </w:r>
          </w:p>
        </w:tc>
        <w:tc>
          <w:tcPr>
            <w:tcW w:w="1067" w:type="pct"/>
            <w:vAlign w:val="center"/>
          </w:tcPr>
          <w:p w14:paraId="29936109" w14:textId="568AC9F5"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1 (1%)</w:t>
            </w:r>
          </w:p>
        </w:tc>
        <w:tc>
          <w:tcPr>
            <w:tcW w:w="1187" w:type="pct"/>
            <w:noWrap/>
            <w:vAlign w:val="center"/>
          </w:tcPr>
          <w:p w14:paraId="15FE6BC4" w14:textId="489E9BD1"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w:t>
            </w:r>
          </w:p>
        </w:tc>
        <w:tc>
          <w:tcPr>
            <w:tcW w:w="1065" w:type="pct"/>
            <w:vAlign w:val="center"/>
          </w:tcPr>
          <w:p w14:paraId="5C78FB58" w14:textId="4BEA533A"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w:t>
            </w:r>
          </w:p>
        </w:tc>
        <w:tc>
          <w:tcPr>
            <w:tcW w:w="616" w:type="pct"/>
            <w:vMerge/>
            <w:vAlign w:val="center"/>
          </w:tcPr>
          <w:p w14:paraId="284F4134"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3559B" w:rsidRPr="00585421" w14:paraId="37D7EFFB"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552AEE48"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6B0412BA"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N2</w:t>
            </w:r>
          </w:p>
        </w:tc>
        <w:tc>
          <w:tcPr>
            <w:tcW w:w="1067" w:type="pct"/>
            <w:vAlign w:val="center"/>
          </w:tcPr>
          <w:p w14:paraId="1BC0D3B6" w14:textId="2E15BF62"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 (8%)</w:t>
            </w:r>
          </w:p>
        </w:tc>
        <w:tc>
          <w:tcPr>
            <w:tcW w:w="1187" w:type="pct"/>
            <w:noWrap/>
            <w:vAlign w:val="center"/>
          </w:tcPr>
          <w:p w14:paraId="164F49DB" w14:textId="5D2CD3A9"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8 (14.04%)</w:t>
            </w:r>
          </w:p>
        </w:tc>
        <w:tc>
          <w:tcPr>
            <w:tcW w:w="1065" w:type="pct"/>
            <w:vAlign w:val="center"/>
          </w:tcPr>
          <w:p w14:paraId="7AD119C4"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0 (0%)</w:t>
            </w:r>
          </w:p>
        </w:tc>
        <w:tc>
          <w:tcPr>
            <w:tcW w:w="616" w:type="pct"/>
            <w:vMerge/>
            <w:vAlign w:val="center"/>
          </w:tcPr>
          <w:p w14:paraId="42D671C8"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8F3B3E" w:rsidRPr="00585421" w14:paraId="1F9B7DD5"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76" w:type="pct"/>
            <w:vMerge w:val="restart"/>
            <w:noWrap/>
            <w:vAlign w:val="center"/>
          </w:tcPr>
          <w:p w14:paraId="721E405B" w14:textId="77777777" w:rsidR="00D3559B" w:rsidRPr="00585421" w:rsidRDefault="00D3559B" w:rsidP="00D3559B">
            <w:pPr>
              <w:jc w:val="center"/>
              <w:rPr>
                <w:rFonts w:asciiTheme="majorBidi" w:eastAsia="Times New Roman" w:hAnsiTheme="majorBidi" w:cstheme="majorBidi"/>
                <w:lang w:eastAsia="en-GB"/>
              </w:rPr>
            </w:pPr>
            <w:r w:rsidRPr="00585421">
              <w:rPr>
                <w:rFonts w:asciiTheme="majorBidi" w:eastAsia="Times New Roman" w:hAnsiTheme="majorBidi" w:cstheme="majorBidi"/>
                <w:lang w:eastAsia="en-GB"/>
              </w:rPr>
              <w:t>M</w:t>
            </w:r>
          </w:p>
        </w:tc>
        <w:tc>
          <w:tcPr>
            <w:tcW w:w="589" w:type="pct"/>
            <w:noWrap/>
            <w:vAlign w:val="center"/>
          </w:tcPr>
          <w:p w14:paraId="0D97CA8A"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M0</w:t>
            </w:r>
          </w:p>
        </w:tc>
        <w:tc>
          <w:tcPr>
            <w:tcW w:w="1067" w:type="pct"/>
            <w:vAlign w:val="bottom"/>
          </w:tcPr>
          <w:p w14:paraId="7DC296BF" w14:textId="1EB644D6"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74 (74%)</w:t>
            </w:r>
          </w:p>
        </w:tc>
        <w:tc>
          <w:tcPr>
            <w:tcW w:w="1187" w:type="pct"/>
            <w:noWrap/>
            <w:vAlign w:val="center"/>
          </w:tcPr>
          <w:p w14:paraId="1341BDC4" w14:textId="4F86B460"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35 (61.4%)</w:t>
            </w:r>
          </w:p>
        </w:tc>
        <w:tc>
          <w:tcPr>
            <w:tcW w:w="1065" w:type="pct"/>
            <w:vAlign w:val="center"/>
          </w:tcPr>
          <w:p w14:paraId="5C19D36E"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39 (90.7%)</w:t>
            </w:r>
          </w:p>
        </w:tc>
        <w:tc>
          <w:tcPr>
            <w:tcW w:w="616" w:type="pct"/>
            <w:vMerge w:val="restart"/>
            <w:vAlign w:val="center"/>
          </w:tcPr>
          <w:p w14:paraId="65D10AE2" w14:textId="77777777" w:rsidR="00D3559B" w:rsidRPr="00585421"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85421">
              <w:rPr>
                <w:rFonts w:asciiTheme="majorBidi" w:hAnsiTheme="majorBidi" w:cstheme="majorBidi"/>
                <w:b/>
                <w:bCs/>
              </w:rPr>
              <w:t>&lt;0.001*</w:t>
            </w:r>
          </w:p>
        </w:tc>
      </w:tr>
      <w:tr w:rsidR="008F3B3E" w:rsidRPr="00585421" w14:paraId="7B647486"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476" w:type="pct"/>
            <w:vMerge/>
            <w:noWrap/>
            <w:vAlign w:val="center"/>
          </w:tcPr>
          <w:p w14:paraId="2B372647" w14:textId="77777777" w:rsidR="00D3559B" w:rsidRPr="00585421" w:rsidRDefault="00D3559B" w:rsidP="00D3559B">
            <w:pPr>
              <w:jc w:val="center"/>
              <w:rPr>
                <w:rFonts w:asciiTheme="majorBidi" w:eastAsia="Times New Roman" w:hAnsiTheme="majorBidi" w:cstheme="majorBidi"/>
                <w:lang w:eastAsia="en-GB"/>
              </w:rPr>
            </w:pPr>
          </w:p>
        </w:tc>
        <w:tc>
          <w:tcPr>
            <w:tcW w:w="589" w:type="pct"/>
            <w:noWrap/>
            <w:vAlign w:val="center"/>
          </w:tcPr>
          <w:p w14:paraId="7DC439B8"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585421">
              <w:rPr>
                <w:rFonts w:asciiTheme="majorBidi" w:hAnsiTheme="majorBidi" w:cstheme="majorBidi"/>
                <w:b/>
                <w:bCs/>
              </w:rPr>
              <w:t>M1</w:t>
            </w:r>
          </w:p>
        </w:tc>
        <w:tc>
          <w:tcPr>
            <w:tcW w:w="1067" w:type="pct"/>
            <w:vAlign w:val="bottom"/>
          </w:tcPr>
          <w:p w14:paraId="753FD42C" w14:textId="0A44DB3E"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26 (26%)</w:t>
            </w:r>
          </w:p>
        </w:tc>
        <w:tc>
          <w:tcPr>
            <w:tcW w:w="1187" w:type="pct"/>
            <w:noWrap/>
            <w:vAlign w:val="center"/>
          </w:tcPr>
          <w:p w14:paraId="6BE7566E" w14:textId="2D1E0F5B"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22 (38.6%)</w:t>
            </w:r>
          </w:p>
        </w:tc>
        <w:tc>
          <w:tcPr>
            <w:tcW w:w="1065" w:type="pct"/>
            <w:vAlign w:val="center"/>
          </w:tcPr>
          <w:p w14:paraId="24EBAD47"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85421">
              <w:rPr>
                <w:rFonts w:asciiTheme="majorBidi" w:hAnsiTheme="majorBidi" w:cstheme="majorBidi"/>
              </w:rPr>
              <w:t>4 (9.3%)</w:t>
            </w:r>
          </w:p>
        </w:tc>
        <w:tc>
          <w:tcPr>
            <w:tcW w:w="616" w:type="pct"/>
            <w:vMerge/>
            <w:vAlign w:val="center"/>
          </w:tcPr>
          <w:p w14:paraId="00634541" w14:textId="77777777" w:rsidR="00D3559B" w:rsidRPr="00585421"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bookmarkEnd w:id="6"/>
    <w:p w14:paraId="757339BA" w14:textId="33E592A9" w:rsidR="00FC039A" w:rsidRPr="008F3B3E" w:rsidRDefault="008F3B3E">
      <w:pPr>
        <w:rPr>
          <w:rFonts w:asciiTheme="majorBidi" w:eastAsia="Calibri" w:hAnsiTheme="majorBidi" w:cstheme="majorBidi"/>
          <w:b/>
          <w:bCs/>
          <w:highlight w:val="yellow"/>
        </w:rPr>
      </w:pPr>
      <w:r w:rsidRPr="008F3B3E">
        <w:rPr>
          <w:rFonts w:asciiTheme="majorBidi" w:eastAsia="Calibri" w:hAnsiTheme="majorBidi" w:cstheme="majorBidi"/>
          <w:sz w:val="18"/>
          <w:szCs w:val="18"/>
        </w:rPr>
        <w:t xml:space="preserve">Data presents as frequency (%). </w:t>
      </w:r>
      <w:r w:rsidR="00585421" w:rsidRPr="008F3B3E">
        <w:rPr>
          <w:rFonts w:asciiTheme="majorBidi" w:eastAsia="Times New Roman" w:hAnsiTheme="majorBidi" w:cstheme="majorBidi"/>
          <w:sz w:val="18"/>
          <w:szCs w:val="18"/>
          <w:lang w:val="en-GB" w:eastAsia="zh-CN"/>
        </w:rPr>
        <w:t xml:space="preserve">T: Primary tumor, N: regional lymph nodes, M: metastasis, *: statistically significant P value &lt;0.05. </w:t>
      </w:r>
      <w:r w:rsidR="00FC039A" w:rsidRPr="008F3B3E">
        <w:rPr>
          <w:rFonts w:asciiTheme="majorBidi" w:eastAsia="Calibri" w:hAnsiTheme="majorBidi" w:cstheme="majorBidi"/>
          <w:b/>
          <w:bCs/>
          <w:highlight w:val="yellow"/>
        </w:rPr>
        <w:br w:type="page"/>
      </w:r>
    </w:p>
    <w:p w14:paraId="0304260F" w14:textId="36C36C6A" w:rsidR="00D3559B" w:rsidRPr="00D3559B" w:rsidRDefault="00D3559B" w:rsidP="00D3559B">
      <w:pPr>
        <w:pStyle w:val="NoSpacing"/>
        <w:rPr>
          <w:highlight w:val="yellow"/>
        </w:rPr>
      </w:pPr>
      <w:r>
        <w:lastRenderedPageBreak/>
        <w:t xml:space="preserve">Table </w:t>
      </w:r>
      <w:r>
        <w:fldChar w:fldCharType="begin"/>
      </w:r>
      <w:r>
        <w:instrText xml:space="preserve"> SEQ Table \* ARABIC </w:instrText>
      </w:r>
      <w:r>
        <w:fldChar w:fldCharType="separate"/>
      </w:r>
      <w:r w:rsidR="00B43D54">
        <w:rPr>
          <w:noProof/>
        </w:rPr>
        <w:t>4</w:t>
      </w:r>
      <w:r>
        <w:fldChar w:fldCharType="end"/>
      </w:r>
      <w:r>
        <w:t>:</w:t>
      </w:r>
      <w:r>
        <w:t xml:space="preserve"> </w:t>
      </w:r>
      <w:r w:rsidR="00585421" w:rsidRPr="00585421">
        <w:t>Tumor mass of the studied groups</w:t>
      </w:r>
      <w:r w:rsidR="00DE37CF">
        <w:t xml:space="preserve"> and m</w:t>
      </w:r>
      <w:r w:rsidR="00DE37CF" w:rsidRPr="00DE37CF">
        <w:t>etastasis of the studied groups regarding PLR</w:t>
      </w:r>
    </w:p>
    <w:tbl>
      <w:tblPr>
        <w:tblStyle w:val="GridTable6Colorful11"/>
        <w:tblW w:w="5000" w:type="pct"/>
        <w:tblLayout w:type="fixed"/>
        <w:tblLook w:val="04A0" w:firstRow="1" w:lastRow="0" w:firstColumn="1" w:lastColumn="0" w:noHBand="0" w:noVBand="1"/>
      </w:tblPr>
      <w:tblGrid>
        <w:gridCol w:w="1270"/>
        <w:gridCol w:w="1419"/>
        <w:gridCol w:w="1842"/>
        <w:gridCol w:w="1560"/>
        <w:gridCol w:w="1702"/>
        <w:gridCol w:w="837"/>
      </w:tblGrid>
      <w:tr w:rsidR="00D3559B" w:rsidRPr="00DE37CF" w14:paraId="106C3A97" w14:textId="2EB70AB7" w:rsidTr="00DE37C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8" w:type="pct"/>
            <w:gridSpan w:val="2"/>
            <w:noWrap/>
            <w:vAlign w:val="center"/>
            <w:hideMark/>
          </w:tcPr>
          <w:p w14:paraId="4397B2AC" w14:textId="77777777" w:rsidR="00D3559B" w:rsidRPr="00DE37CF" w:rsidRDefault="00D3559B" w:rsidP="00D3559B">
            <w:pPr>
              <w:jc w:val="center"/>
              <w:rPr>
                <w:rFonts w:asciiTheme="majorBidi" w:eastAsia="Times New Roman" w:hAnsiTheme="majorBidi" w:cstheme="majorBidi"/>
                <w:color w:val="auto"/>
                <w:lang w:eastAsia="en-GB"/>
              </w:rPr>
            </w:pPr>
          </w:p>
        </w:tc>
        <w:tc>
          <w:tcPr>
            <w:tcW w:w="1067" w:type="pct"/>
            <w:noWrap/>
            <w:vAlign w:val="center"/>
          </w:tcPr>
          <w:p w14:paraId="1F19892B" w14:textId="77777777" w:rsidR="00D3559B" w:rsidRPr="00DE37CF"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DE37CF">
              <w:rPr>
                <w:rFonts w:asciiTheme="majorBidi" w:hAnsiTheme="majorBidi" w:cstheme="majorBidi"/>
              </w:rPr>
              <w:t xml:space="preserve">Total </w:t>
            </w:r>
          </w:p>
          <w:p w14:paraId="2DAE3D23" w14:textId="463FF7FD" w:rsidR="00D3559B" w:rsidRPr="00DE37CF"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(n=100)</w:t>
            </w:r>
          </w:p>
        </w:tc>
        <w:tc>
          <w:tcPr>
            <w:tcW w:w="904" w:type="pct"/>
            <w:vAlign w:val="center"/>
          </w:tcPr>
          <w:p w14:paraId="0E943EED" w14:textId="19F9DE7C" w:rsidR="00D3559B" w:rsidRPr="00DE37CF"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High PLR &gt;150 (n=57)</w:t>
            </w:r>
          </w:p>
        </w:tc>
        <w:tc>
          <w:tcPr>
            <w:tcW w:w="986" w:type="pct"/>
            <w:vAlign w:val="center"/>
          </w:tcPr>
          <w:p w14:paraId="4474B17E" w14:textId="2B01A039" w:rsidR="00D3559B" w:rsidRPr="00DE37CF"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Low PLR &lt;150 (n=43)</w:t>
            </w:r>
          </w:p>
        </w:tc>
        <w:tc>
          <w:tcPr>
            <w:tcW w:w="485" w:type="pct"/>
            <w:vAlign w:val="center"/>
          </w:tcPr>
          <w:p w14:paraId="3F22D7D6" w14:textId="11E47C54" w:rsidR="00D3559B" w:rsidRPr="00DE37CF" w:rsidRDefault="00D3559B" w:rsidP="00D3559B">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eastAsia="Times New Roman" w:hAnsiTheme="majorBidi" w:cstheme="majorBidi"/>
                <w:lang w:eastAsia="en-GB"/>
              </w:rPr>
              <w:t>P value</w:t>
            </w:r>
          </w:p>
        </w:tc>
      </w:tr>
      <w:tr w:rsidR="00D3559B" w:rsidRPr="00DE37CF" w14:paraId="7767B84F" w14:textId="36BEFFEA"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6" w:type="pct"/>
            <w:vMerge w:val="restart"/>
            <w:noWrap/>
            <w:vAlign w:val="center"/>
            <w:hideMark/>
          </w:tcPr>
          <w:p w14:paraId="2310624A" w14:textId="77777777" w:rsidR="00D3559B" w:rsidRPr="00DE37CF" w:rsidRDefault="00D3559B" w:rsidP="00D3559B">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Before</w:t>
            </w:r>
          </w:p>
        </w:tc>
        <w:tc>
          <w:tcPr>
            <w:tcW w:w="822" w:type="pct"/>
            <w:noWrap/>
            <w:vAlign w:val="center"/>
            <w:hideMark/>
          </w:tcPr>
          <w:p w14:paraId="46976389"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eastAsia="Times New Roman" w:hAnsiTheme="majorBidi" w:cstheme="majorBidi"/>
                <w:b/>
                <w:bCs/>
                <w:lang w:eastAsia="en-GB"/>
              </w:rPr>
              <w:t>Mean± SD</w:t>
            </w:r>
          </w:p>
        </w:tc>
        <w:tc>
          <w:tcPr>
            <w:tcW w:w="1067" w:type="pct"/>
            <w:vAlign w:val="center"/>
          </w:tcPr>
          <w:p w14:paraId="21D9089A"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3.62± 1.6 x</w:t>
            </w:r>
          </w:p>
          <w:p w14:paraId="4996E69A" w14:textId="1E2BAF59"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2.7± 1.54</w:t>
            </w:r>
          </w:p>
        </w:tc>
        <w:tc>
          <w:tcPr>
            <w:tcW w:w="904" w:type="pct"/>
            <w:vAlign w:val="center"/>
          </w:tcPr>
          <w:p w14:paraId="21883766" w14:textId="786C6586"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2.71± 1.03 x 2.2± 0.76</w:t>
            </w:r>
          </w:p>
        </w:tc>
        <w:tc>
          <w:tcPr>
            <w:tcW w:w="986" w:type="pct"/>
            <w:noWrap/>
            <w:vAlign w:val="center"/>
          </w:tcPr>
          <w:p w14:paraId="38D25084" w14:textId="4BCA0E02"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3.23± 1.45 x 2.48± 1.29</w:t>
            </w:r>
          </w:p>
        </w:tc>
        <w:tc>
          <w:tcPr>
            <w:tcW w:w="485" w:type="pct"/>
            <w:vMerge w:val="restart"/>
            <w:vAlign w:val="center"/>
          </w:tcPr>
          <w:p w14:paraId="2C0D4735" w14:textId="0F4CFC6F"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eastAsia="Times New Roman" w:hAnsiTheme="majorBidi" w:cstheme="majorBidi"/>
                <w:b/>
                <w:bCs/>
              </w:rPr>
              <w:t>0.002*</w:t>
            </w:r>
          </w:p>
        </w:tc>
      </w:tr>
      <w:tr w:rsidR="00D3559B" w:rsidRPr="00DE37CF" w14:paraId="2A54BD6C" w14:textId="555CE898" w:rsidTr="008F3B3E">
        <w:trPr>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hideMark/>
          </w:tcPr>
          <w:p w14:paraId="61169F2A"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hideMark/>
          </w:tcPr>
          <w:p w14:paraId="3BE500D3"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eastAsia="Times New Roman" w:hAnsiTheme="majorBidi" w:cstheme="majorBidi"/>
                <w:b/>
                <w:bCs/>
                <w:lang w:eastAsia="en-GB"/>
              </w:rPr>
              <w:t>Range</w:t>
            </w:r>
          </w:p>
        </w:tc>
        <w:tc>
          <w:tcPr>
            <w:tcW w:w="1067" w:type="pct"/>
            <w:vAlign w:val="center"/>
          </w:tcPr>
          <w:p w14:paraId="143BD061" w14:textId="0CF2B40A"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1.6-7.5 x 1.1-6.3</w:t>
            </w:r>
          </w:p>
        </w:tc>
        <w:tc>
          <w:tcPr>
            <w:tcW w:w="904" w:type="pct"/>
            <w:vAlign w:val="center"/>
          </w:tcPr>
          <w:p w14:paraId="0AB79D45" w14:textId="717FB612"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1.4-5.2 x 1.2-4</w:t>
            </w:r>
          </w:p>
        </w:tc>
        <w:tc>
          <w:tcPr>
            <w:tcW w:w="986" w:type="pct"/>
            <w:noWrap/>
            <w:vAlign w:val="center"/>
          </w:tcPr>
          <w:p w14:paraId="5B5D6E13" w14:textId="01C20146"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1.4-7.5 x 1.1-6.3</w:t>
            </w:r>
          </w:p>
        </w:tc>
        <w:tc>
          <w:tcPr>
            <w:tcW w:w="485" w:type="pct"/>
            <w:vMerge/>
            <w:vAlign w:val="center"/>
          </w:tcPr>
          <w:p w14:paraId="62FFBAC1"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DE37CF" w14:paraId="2B7EB5A9" w14:textId="7523C180"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tcPr>
          <w:p w14:paraId="0FF3AF01"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tcPr>
          <w:p w14:paraId="128D79E1"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eastAsia="Times New Roman" w:hAnsiTheme="majorBidi" w:cstheme="majorBidi"/>
                <w:b/>
                <w:bCs/>
                <w:lang w:eastAsia="en-GB"/>
              </w:rPr>
              <w:t>Median (IQR)</w:t>
            </w:r>
          </w:p>
        </w:tc>
        <w:tc>
          <w:tcPr>
            <w:tcW w:w="1067" w:type="pct"/>
            <w:vAlign w:val="center"/>
          </w:tcPr>
          <w:p w14:paraId="3998445F" w14:textId="55F19AC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3.2 (2.5 - 3.8) x 2.1 (1.5 - 3.7)</w:t>
            </w:r>
          </w:p>
        </w:tc>
        <w:tc>
          <w:tcPr>
            <w:tcW w:w="904" w:type="pct"/>
            <w:vAlign w:val="center"/>
          </w:tcPr>
          <w:p w14:paraId="4B78BC10"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2.4 (2 - 3.5) x</w:t>
            </w:r>
          </w:p>
          <w:p w14:paraId="7A32229B" w14:textId="71D37E76"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 (1.7 -2.5)</w:t>
            </w:r>
          </w:p>
        </w:tc>
        <w:tc>
          <w:tcPr>
            <w:tcW w:w="986" w:type="pct"/>
            <w:noWrap/>
            <w:vAlign w:val="center"/>
          </w:tcPr>
          <w:p w14:paraId="58896F46" w14:textId="41191472"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2.7 (2.3 - 3.7) x 2 (1.65 - 2.7)</w:t>
            </w:r>
          </w:p>
        </w:tc>
        <w:tc>
          <w:tcPr>
            <w:tcW w:w="485" w:type="pct"/>
            <w:vMerge/>
            <w:vAlign w:val="center"/>
          </w:tcPr>
          <w:p w14:paraId="7B1B6D46"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3559B" w:rsidRPr="00DE37CF" w14:paraId="6BDEF41D" w14:textId="1705EF21" w:rsidTr="008F3B3E">
        <w:trPr>
          <w:trHeight w:val="20"/>
        </w:trPr>
        <w:tc>
          <w:tcPr>
            <w:cnfStyle w:val="001000000000" w:firstRow="0" w:lastRow="0" w:firstColumn="1" w:lastColumn="0" w:oddVBand="0" w:evenVBand="0" w:oddHBand="0" w:evenHBand="0" w:firstRowFirstColumn="0" w:firstRowLastColumn="0" w:lastRowFirstColumn="0" w:lastRowLastColumn="0"/>
            <w:tcW w:w="736" w:type="pct"/>
            <w:vMerge w:val="restart"/>
            <w:noWrap/>
            <w:vAlign w:val="center"/>
          </w:tcPr>
          <w:p w14:paraId="370BD715" w14:textId="77777777" w:rsidR="00D3559B" w:rsidRPr="00DE37CF" w:rsidRDefault="00D3559B" w:rsidP="00D3559B">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After</w:t>
            </w:r>
          </w:p>
        </w:tc>
        <w:tc>
          <w:tcPr>
            <w:tcW w:w="822" w:type="pct"/>
            <w:noWrap/>
            <w:vAlign w:val="center"/>
          </w:tcPr>
          <w:p w14:paraId="5C470D6E"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eastAsia="Times New Roman" w:hAnsiTheme="majorBidi" w:cstheme="majorBidi"/>
                <w:b/>
                <w:bCs/>
                <w:lang w:eastAsia="en-GB"/>
              </w:rPr>
              <w:t>Mean± SD</w:t>
            </w:r>
          </w:p>
        </w:tc>
        <w:tc>
          <w:tcPr>
            <w:tcW w:w="1067" w:type="pct"/>
            <w:vAlign w:val="center"/>
          </w:tcPr>
          <w:p w14:paraId="54F17328" w14:textId="30CBB882"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2.52± 1.24 x 2.35± 1.48</w:t>
            </w:r>
          </w:p>
        </w:tc>
        <w:tc>
          <w:tcPr>
            <w:tcW w:w="904" w:type="pct"/>
            <w:vAlign w:val="center"/>
          </w:tcPr>
          <w:p w14:paraId="2ABB12FF" w14:textId="59A76E1A"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1.42± 1.21 x 1.39± 1.16</w:t>
            </w:r>
          </w:p>
        </w:tc>
        <w:tc>
          <w:tcPr>
            <w:tcW w:w="986" w:type="pct"/>
            <w:noWrap/>
            <w:vAlign w:val="center"/>
          </w:tcPr>
          <w:p w14:paraId="2CDB15C5" w14:textId="706696FB"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2.04± 1.34 x 1.94± 1.43</w:t>
            </w:r>
          </w:p>
        </w:tc>
        <w:tc>
          <w:tcPr>
            <w:tcW w:w="485" w:type="pct"/>
            <w:vMerge w:val="restart"/>
            <w:vAlign w:val="center"/>
          </w:tcPr>
          <w:p w14:paraId="28546C96" w14:textId="177CDA9C"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b/>
                <w:bCs/>
              </w:rPr>
              <w:t>&lt;0.001*</w:t>
            </w:r>
          </w:p>
        </w:tc>
      </w:tr>
      <w:tr w:rsidR="00D3559B" w:rsidRPr="00DE37CF" w14:paraId="091056E0" w14:textId="548605E3"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tcPr>
          <w:p w14:paraId="6347FCA9"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tcPr>
          <w:p w14:paraId="5BB4D09C"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eastAsia="Times New Roman" w:hAnsiTheme="majorBidi" w:cstheme="majorBidi"/>
                <w:b/>
                <w:bCs/>
                <w:lang w:eastAsia="en-GB"/>
              </w:rPr>
              <w:t>Range</w:t>
            </w:r>
          </w:p>
        </w:tc>
        <w:tc>
          <w:tcPr>
            <w:tcW w:w="1067" w:type="pct"/>
            <w:vAlign w:val="center"/>
          </w:tcPr>
          <w:p w14:paraId="7CD438CF" w14:textId="12722281"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0.5-5 x 0.4-5.5</w:t>
            </w:r>
          </w:p>
        </w:tc>
        <w:tc>
          <w:tcPr>
            <w:tcW w:w="904" w:type="pct"/>
            <w:vAlign w:val="center"/>
          </w:tcPr>
          <w:p w14:paraId="2506B0B9" w14:textId="0737B164"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0-4.8 x 0-4.5</w:t>
            </w:r>
          </w:p>
        </w:tc>
        <w:tc>
          <w:tcPr>
            <w:tcW w:w="986" w:type="pct"/>
            <w:noWrap/>
            <w:vAlign w:val="center"/>
          </w:tcPr>
          <w:p w14:paraId="42B3DC1F" w14:textId="65D48532"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0-5 x 0-5.5</w:t>
            </w:r>
          </w:p>
        </w:tc>
        <w:tc>
          <w:tcPr>
            <w:tcW w:w="485" w:type="pct"/>
            <w:vMerge/>
            <w:vAlign w:val="center"/>
          </w:tcPr>
          <w:p w14:paraId="4427642F"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3559B" w:rsidRPr="00DE37CF" w14:paraId="04700F4D" w14:textId="78C7A2F9" w:rsidTr="008F3B3E">
        <w:trPr>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tcPr>
          <w:p w14:paraId="52E17909"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tcPr>
          <w:p w14:paraId="2EED27CF"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eastAsia="Times New Roman" w:hAnsiTheme="majorBidi" w:cstheme="majorBidi"/>
                <w:b/>
                <w:bCs/>
                <w:lang w:eastAsia="en-GB"/>
              </w:rPr>
              <w:t>Median (IQR)</w:t>
            </w:r>
          </w:p>
        </w:tc>
        <w:tc>
          <w:tcPr>
            <w:tcW w:w="1067" w:type="pct"/>
            <w:vAlign w:val="center"/>
          </w:tcPr>
          <w:p w14:paraId="3FA26915"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2.5 (1.6 – 3) x</w:t>
            </w:r>
          </w:p>
          <w:p w14:paraId="7CB014A4" w14:textId="54A629A3"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1.7 (1.4- 3.5)</w:t>
            </w:r>
          </w:p>
        </w:tc>
        <w:tc>
          <w:tcPr>
            <w:tcW w:w="904" w:type="pct"/>
            <w:vAlign w:val="center"/>
          </w:tcPr>
          <w:p w14:paraId="7E9D09EA"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1.5 (0.8 - 1.6) x</w:t>
            </w:r>
          </w:p>
          <w:p w14:paraId="4DE89666" w14:textId="699245E0"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1.4 (0.5 - 1.6)</w:t>
            </w:r>
          </w:p>
        </w:tc>
        <w:tc>
          <w:tcPr>
            <w:tcW w:w="986" w:type="pct"/>
            <w:noWrap/>
            <w:vAlign w:val="center"/>
          </w:tcPr>
          <w:p w14:paraId="5B1D0C5C" w14:textId="0CB66FB8"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1.65 (0.9 -3) x 1.5 (1 -2.5)</w:t>
            </w:r>
          </w:p>
        </w:tc>
        <w:tc>
          <w:tcPr>
            <w:tcW w:w="485" w:type="pct"/>
            <w:vMerge/>
            <w:vAlign w:val="center"/>
          </w:tcPr>
          <w:p w14:paraId="1A704A42"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DE37CF" w14:paraId="025E35F0"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6" w:type="pct"/>
            <w:vMerge w:val="restart"/>
            <w:noWrap/>
            <w:vAlign w:val="center"/>
          </w:tcPr>
          <w:p w14:paraId="6C1E4BC4" w14:textId="7AEF9573" w:rsidR="00D3559B" w:rsidRPr="00DE37CF" w:rsidRDefault="00D3559B" w:rsidP="00D3559B">
            <w:pPr>
              <w:jc w:val="center"/>
              <w:rPr>
                <w:rFonts w:asciiTheme="majorBidi" w:eastAsia="Times New Roman" w:hAnsiTheme="majorBidi" w:cstheme="majorBidi"/>
                <w:lang w:eastAsia="en-GB"/>
              </w:rPr>
            </w:pPr>
            <w:r w:rsidRPr="00DE37CF">
              <w:rPr>
                <w:rFonts w:asciiTheme="majorBidi" w:eastAsia="Times New Roman" w:hAnsiTheme="majorBidi" w:cstheme="majorBidi"/>
                <w:lang w:eastAsia="en-GB"/>
              </w:rPr>
              <w:t>Metastasis</w:t>
            </w:r>
          </w:p>
        </w:tc>
        <w:tc>
          <w:tcPr>
            <w:tcW w:w="822" w:type="pct"/>
            <w:noWrap/>
            <w:vAlign w:val="center"/>
          </w:tcPr>
          <w:p w14:paraId="614D8501" w14:textId="50E294B5"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lang w:eastAsia="en-GB"/>
              </w:rPr>
            </w:pPr>
            <w:r w:rsidRPr="00DE37CF">
              <w:rPr>
                <w:rFonts w:asciiTheme="majorBidi" w:hAnsiTheme="majorBidi" w:cstheme="majorBidi"/>
                <w:b/>
                <w:bCs/>
              </w:rPr>
              <w:t>Brain</w:t>
            </w:r>
          </w:p>
        </w:tc>
        <w:tc>
          <w:tcPr>
            <w:tcW w:w="1067" w:type="pct"/>
            <w:vAlign w:val="center"/>
          </w:tcPr>
          <w:p w14:paraId="75F4594B" w14:textId="1B1175AE"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(4%)</w:t>
            </w:r>
          </w:p>
        </w:tc>
        <w:tc>
          <w:tcPr>
            <w:tcW w:w="904" w:type="pct"/>
            <w:vAlign w:val="center"/>
          </w:tcPr>
          <w:p w14:paraId="3A127B99" w14:textId="2B26C08C"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(7.02%)</w:t>
            </w:r>
          </w:p>
        </w:tc>
        <w:tc>
          <w:tcPr>
            <w:tcW w:w="986" w:type="pct"/>
            <w:noWrap/>
            <w:vAlign w:val="center"/>
          </w:tcPr>
          <w:p w14:paraId="721C5F0A" w14:textId="373C1E0A"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485" w:type="pct"/>
            <w:vMerge w:val="restart"/>
            <w:vAlign w:val="center"/>
          </w:tcPr>
          <w:p w14:paraId="45770742" w14:textId="566B5C42"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&lt;0.001*</w:t>
            </w:r>
          </w:p>
        </w:tc>
      </w:tr>
      <w:tr w:rsidR="00D3559B" w:rsidRPr="00DE37CF" w14:paraId="2E7F6E94"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tcPr>
          <w:p w14:paraId="28B9B267"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tcPr>
          <w:p w14:paraId="76FDEE3C" w14:textId="313E49A4"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Liver</w:t>
            </w:r>
          </w:p>
        </w:tc>
        <w:tc>
          <w:tcPr>
            <w:tcW w:w="1067" w:type="pct"/>
            <w:vAlign w:val="center"/>
          </w:tcPr>
          <w:p w14:paraId="06A96551" w14:textId="216AF329"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11 (11%)</w:t>
            </w:r>
          </w:p>
        </w:tc>
        <w:tc>
          <w:tcPr>
            <w:tcW w:w="904" w:type="pct"/>
            <w:vAlign w:val="center"/>
          </w:tcPr>
          <w:p w14:paraId="2BA08F19" w14:textId="3D1E28C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11 (19.3%)</w:t>
            </w:r>
          </w:p>
        </w:tc>
        <w:tc>
          <w:tcPr>
            <w:tcW w:w="986" w:type="pct"/>
            <w:noWrap/>
            <w:vAlign w:val="center"/>
          </w:tcPr>
          <w:p w14:paraId="499E6E2D" w14:textId="67586DA2"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485" w:type="pct"/>
            <w:vMerge/>
            <w:vAlign w:val="center"/>
          </w:tcPr>
          <w:p w14:paraId="5DF581BF"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DE37CF" w14:paraId="4B9B212D"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tcPr>
          <w:p w14:paraId="4D895560"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tcPr>
          <w:p w14:paraId="289D1F84" w14:textId="3E1EC0DF"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Bone</w:t>
            </w:r>
          </w:p>
        </w:tc>
        <w:tc>
          <w:tcPr>
            <w:tcW w:w="1067" w:type="pct"/>
            <w:vAlign w:val="center"/>
          </w:tcPr>
          <w:p w14:paraId="2ECEC40D" w14:textId="1506F934"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7 (7%)</w:t>
            </w:r>
          </w:p>
        </w:tc>
        <w:tc>
          <w:tcPr>
            <w:tcW w:w="904" w:type="pct"/>
            <w:vAlign w:val="center"/>
          </w:tcPr>
          <w:p w14:paraId="4D43E9EF" w14:textId="6D74F8F6"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7 (12.28%)</w:t>
            </w:r>
          </w:p>
        </w:tc>
        <w:tc>
          <w:tcPr>
            <w:tcW w:w="986" w:type="pct"/>
            <w:noWrap/>
            <w:vAlign w:val="center"/>
          </w:tcPr>
          <w:p w14:paraId="41724D0A" w14:textId="36085EDB"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485" w:type="pct"/>
            <w:vMerge/>
            <w:vAlign w:val="center"/>
          </w:tcPr>
          <w:p w14:paraId="590262F4"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3559B" w:rsidRPr="00DE37CF" w14:paraId="02785B9A"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tcPr>
          <w:p w14:paraId="3D24C705"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tcPr>
          <w:p w14:paraId="46F3E302" w14:textId="7B1349FF"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Brain &amp; liver</w:t>
            </w:r>
          </w:p>
        </w:tc>
        <w:tc>
          <w:tcPr>
            <w:tcW w:w="1067" w:type="pct"/>
            <w:vAlign w:val="center"/>
          </w:tcPr>
          <w:p w14:paraId="1558958D" w14:textId="69B5DCCD"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(4%)</w:t>
            </w:r>
          </w:p>
        </w:tc>
        <w:tc>
          <w:tcPr>
            <w:tcW w:w="904" w:type="pct"/>
            <w:vAlign w:val="center"/>
          </w:tcPr>
          <w:p w14:paraId="026E0331" w14:textId="5EBF3052"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(7.02%)</w:t>
            </w:r>
          </w:p>
        </w:tc>
        <w:tc>
          <w:tcPr>
            <w:tcW w:w="986" w:type="pct"/>
            <w:noWrap/>
            <w:vAlign w:val="center"/>
          </w:tcPr>
          <w:p w14:paraId="517D0E6B" w14:textId="09F3F9E5"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485" w:type="pct"/>
            <w:vMerge/>
            <w:vAlign w:val="center"/>
          </w:tcPr>
          <w:p w14:paraId="459F11BD"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D3559B" w:rsidRPr="00DE37CF" w14:paraId="1DCEAFCA" w14:textId="77777777" w:rsidTr="008F3B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tcPr>
          <w:p w14:paraId="1ED917D0"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tcPr>
          <w:p w14:paraId="09735C0F" w14:textId="2B6D2FD9"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Contralateral breast</w:t>
            </w:r>
          </w:p>
        </w:tc>
        <w:tc>
          <w:tcPr>
            <w:tcW w:w="1067" w:type="pct"/>
            <w:vAlign w:val="center"/>
          </w:tcPr>
          <w:p w14:paraId="299F6898" w14:textId="792E45BE"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(4%)</w:t>
            </w:r>
          </w:p>
        </w:tc>
        <w:tc>
          <w:tcPr>
            <w:tcW w:w="904" w:type="pct"/>
            <w:vAlign w:val="center"/>
          </w:tcPr>
          <w:p w14:paraId="637C4B16" w14:textId="6AB7E0EF"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(7.02%)</w:t>
            </w:r>
          </w:p>
        </w:tc>
        <w:tc>
          <w:tcPr>
            <w:tcW w:w="986" w:type="pct"/>
            <w:noWrap/>
            <w:vAlign w:val="center"/>
          </w:tcPr>
          <w:p w14:paraId="325969DA" w14:textId="6543EE93"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485" w:type="pct"/>
            <w:vMerge/>
            <w:vAlign w:val="center"/>
          </w:tcPr>
          <w:p w14:paraId="2B3EA863" w14:textId="77777777" w:rsidR="00D3559B" w:rsidRPr="00DE37CF" w:rsidRDefault="00D3559B" w:rsidP="00D3559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D3559B" w:rsidRPr="00DE37CF" w14:paraId="577F8747" w14:textId="77777777" w:rsidTr="008F3B3E">
        <w:trPr>
          <w:trHeight w:val="20"/>
        </w:trPr>
        <w:tc>
          <w:tcPr>
            <w:cnfStyle w:val="001000000000" w:firstRow="0" w:lastRow="0" w:firstColumn="1" w:lastColumn="0" w:oddVBand="0" w:evenVBand="0" w:oddHBand="0" w:evenHBand="0" w:firstRowFirstColumn="0" w:firstRowLastColumn="0" w:lastRowFirstColumn="0" w:lastRowLastColumn="0"/>
            <w:tcW w:w="736" w:type="pct"/>
            <w:vMerge/>
            <w:noWrap/>
            <w:vAlign w:val="center"/>
          </w:tcPr>
          <w:p w14:paraId="6312304C" w14:textId="77777777" w:rsidR="00D3559B" w:rsidRPr="00DE37CF" w:rsidRDefault="00D3559B" w:rsidP="00D3559B">
            <w:pPr>
              <w:jc w:val="center"/>
              <w:rPr>
                <w:rFonts w:asciiTheme="majorBidi" w:eastAsia="Times New Roman" w:hAnsiTheme="majorBidi" w:cstheme="majorBidi"/>
                <w:lang w:eastAsia="en-GB"/>
              </w:rPr>
            </w:pPr>
          </w:p>
        </w:tc>
        <w:tc>
          <w:tcPr>
            <w:tcW w:w="822" w:type="pct"/>
            <w:noWrap/>
            <w:vAlign w:val="center"/>
          </w:tcPr>
          <w:p w14:paraId="4BD3C4D3" w14:textId="63B183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DE37CF">
              <w:rPr>
                <w:rFonts w:asciiTheme="majorBidi" w:hAnsiTheme="majorBidi" w:cstheme="majorBidi"/>
                <w:b/>
                <w:bCs/>
              </w:rPr>
              <w:t>Liver &amp; contralateral breast</w:t>
            </w:r>
          </w:p>
        </w:tc>
        <w:tc>
          <w:tcPr>
            <w:tcW w:w="1067" w:type="pct"/>
            <w:vAlign w:val="center"/>
          </w:tcPr>
          <w:p w14:paraId="1632BE1A" w14:textId="146870A9"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(4%)</w:t>
            </w:r>
          </w:p>
        </w:tc>
        <w:tc>
          <w:tcPr>
            <w:tcW w:w="904" w:type="pct"/>
            <w:vAlign w:val="center"/>
          </w:tcPr>
          <w:p w14:paraId="33B3B10E" w14:textId="51976C62"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0 (0%)</w:t>
            </w:r>
          </w:p>
        </w:tc>
        <w:tc>
          <w:tcPr>
            <w:tcW w:w="986" w:type="pct"/>
            <w:noWrap/>
            <w:vAlign w:val="center"/>
          </w:tcPr>
          <w:p w14:paraId="0F9C361D" w14:textId="7C222E8B"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DE37CF">
              <w:rPr>
                <w:rFonts w:asciiTheme="majorBidi" w:hAnsiTheme="majorBidi" w:cstheme="majorBidi"/>
              </w:rPr>
              <w:t>4 (9.3%)</w:t>
            </w:r>
          </w:p>
        </w:tc>
        <w:tc>
          <w:tcPr>
            <w:tcW w:w="485" w:type="pct"/>
            <w:vMerge/>
            <w:vAlign w:val="center"/>
          </w:tcPr>
          <w:p w14:paraId="76D4A9B5" w14:textId="77777777" w:rsidR="00D3559B" w:rsidRPr="00DE37CF" w:rsidRDefault="00D3559B" w:rsidP="00D3559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bl>
    <w:p w14:paraId="4D86ED75" w14:textId="77A4728F" w:rsidR="00CD2B75" w:rsidRPr="00DE37CF" w:rsidRDefault="008F3B3E" w:rsidP="00B42544">
      <w:pPr>
        <w:rPr>
          <w:rFonts w:ascii="Times New Roman" w:eastAsia="Calibri" w:hAnsi="Times New Roman" w:cs="Times New Roman"/>
          <w:highlight w:val="yellow"/>
          <w:lang w:val="en-GB" w:bidi="ar-EG"/>
        </w:rPr>
      </w:pPr>
      <w:r w:rsidRPr="008F3B3E">
        <w:rPr>
          <w:rFonts w:ascii="Times New Roman" w:eastAsia="Times New Roman" w:hAnsi="Times New Roman" w:cs="Akhbar MT"/>
          <w:sz w:val="18"/>
          <w:szCs w:val="18"/>
          <w:lang w:val="en-GB" w:eastAsia="zh-CN"/>
        </w:rPr>
        <w:t>Data presents as Mean± SD, Range</w:t>
      </w:r>
      <w:r w:rsidR="00B43D54">
        <w:rPr>
          <w:rFonts w:ascii="Times New Roman" w:eastAsia="Times New Roman" w:hAnsi="Times New Roman" w:cs="Akhbar MT"/>
          <w:sz w:val="18"/>
          <w:szCs w:val="18"/>
          <w:lang w:val="en-GB" w:eastAsia="zh-CN"/>
        </w:rPr>
        <w:t>,</w:t>
      </w:r>
      <w:r w:rsidR="00B43D54" w:rsidRPr="00B43D54">
        <w:t xml:space="preserve"> </w:t>
      </w:r>
      <w:r w:rsidR="00B43D54" w:rsidRPr="00B43D54">
        <w:rPr>
          <w:rFonts w:ascii="Times New Roman" w:eastAsia="Times New Roman" w:hAnsi="Times New Roman" w:cs="Akhbar MT"/>
          <w:sz w:val="18"/>
          <w:szCs w:val="18"/>
          <w:lang w:val="en-GB" w:eastAsia="zh-CN"/>
        </w:rPr>
        <w:t>Median (IQR)</w:t>
      </w:r>
      <w:r w:rsidRPr="008F3B3E">
        <w:rPr>
          <w:rFonts w:ascii="Times New Roman" w:eastAsia="Times New Roman" w:hAnsi="Times New Roman" w:cs="Akhbar MT"/>
          <w:sz w:val="18"/>
          <w:szCs w:val="18"/>
          <w:lang w:val="en-GB" w:eastAsia="zh-CN"/>
        </w:rPr>
        <w:t xml:space="preserve"> or frequency (%). </w:t>
      </w:r>
      <w:r w:rsidR="00DE37CF" w:rsidRPr="00DE37CF">
        <w:rPr>
          <w:rFonts w:ascii="Times New Roman" w:eastAsia="Times New Roman" w:hAnsi="Times New Roman" w:cs="Akhbar MT"/>
          <w:sz w:val="18"/>
          <w:szCs w:val="18"/>
          <w:lang w:val="en-GB" w:eastAsia="zh-CN"/>
        </w:rPr>
        <w:t>PLR: Platelet to lymphocytic ratio, *: statistically significant P value &lt;0.05.</w:t>
      </w:r>
    </w:p>
    <w:sectPr w:rsidR="00CD2B75" w:rsidRPr="00DE37CF">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447D" w14:textId="77777777" w:rsidR="00256EE1" w:rsidRDefault="00256EE1" w:rsidP="00C74384">
      <w:pPr>
        <w:spacing w:after="0" w:line="240" w:lineRule="auto"/>
      </w:pPr>
      <w:r>
        <w:separator/>
      </w:r>
    </w:p>
  </w:endnote>
  <w:endnote w:type="continuationSeparator" w:id="0">
    <w:p w14:paraId="2D11A64F" w14:textId="77777777" w:rsidR="00256EE1" w:rsidRDefault="00256EE1" w:rsidP="00C7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khbar MT">
    <w:altName w:val="Arial"/>
    <w:charset w:val="B2"/>
    <w:family w:val="auto"/>
    <w:pitch w:val="variable"/>
    <w:sig w:usb0="00002001"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AdvOT678fd422">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183811"/>
      <w:docPartObj>
        <w:docPartGallery w:val="Page Numbers (Bottom of Page)"/>
        <w:docPartUnique/>
      </w:docPartObj>
    </w:sdtPr>
    <w:sdtEndPr>
      <w:rPr>
        <w:noProof/>
      </w:rPr>
    </w:sdtEndPr>
    <w:sdtContent>
      <w:p w14:paraId="3209EAE3" w14:textId="4143EA4E" w:rsidR="009814D2" w:rsidRDefault="009814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45E066" w14:textId="77777777" w:rsidR="00C74384" w:rsidRDefault="00C7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BCB0" w14:textId="77777777" w:rsidR="00256EE1" w:rsidRDefault="00256EE1" w:rsidP="00C74384">
      <w:pPr>
        <w:spacing w:after="0" w:line="240" w:lineRule="auto"/>
      </w:pPr>
      <w:r>
        <w:separator/>
      </w:r>
    </w:p>
  </w:footnote>
  <w:footnote w:type="continuationSeparator" w:id="0">
    <w:p w14:paraId="3F7A3E6C" w14:textId="77777777" w:rsidR="00256EE1" w:rsidRDefault="00256EE1" w:rsidP="00C74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486269EA"/>
    <w:lvl w:ilvl="0" w:tplc="1DFEE134">
      <w:start w:val="1"/>
      <w:numFmt w:val="decimal"/>
      <w:lvlText w:val="%1."/>
      <w:lvlJc w:val="left"/>
      <w:pPr>
        <w:ind w:left="810" w:hanging="360"/>
      </w:pPr>
      <w:rPr>
        <w:b/>
        <w:bCs/>
        <w:sz w:val="32"/>
        <w:szCs w:val="32"/>
      </w:rPr>
    </w:lvl>
    <w:lvl w:ilvl="1" w:tplc="BAB8A1A8">
      <w:numFmt w:val="bullet"/>
      <w:lvlText w:val="•"/>
      <w:lvlJc w:val="left"/>
      <w:pPr>
        <w:ind w:left="3045" w:hanging="1965"/>
      </w:pPr>
      <w:rPr>
        <w:rFonts w:ascii="Cambria" w:eastAsia="Calibri" w:hAnsi="Cambria"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457C25"/>
    <w:multiLevelType w:val="hybridMultilevel"/>
    <w:tmpl w:val="E08604B8"/>
    <w:lvl w:ilvl="0" w:tplc="07AA4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FE7"/>
    <w:multiLevelType w:val="hybridMultilevel"/>
    <w:tmpl w:val="1B7CC634"/>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52B5903"/>
    <w:multiLevelType w:val="hybridMultilevel"/>
    <w:tmpl w:val="1AA48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572E03"/>
    <w:multiLevelType w:val="hybridMultilevel"/>
    <w:tmpl w:val="E9B6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A0047"/>
    <w:multiLevelType w:val="hybridMultilevel"/>
    <w:tmpl w:val="1376F6CC"/>
    <w:lvl w:ilvl="0" w:tplc="04090001">
      <w:start w:val="1"/>
      <w:numFmt w:val="bullet"/>
      <w:lvlText w:val=""/>
      <w:lvlJc w:val="left"/>
      <w:pPr>
        <w:tabs>
          <w:tab w:val="num" w:pos="360"/>
        </w:tabs>
        <w:ind w:left="360" w:hanging="360"/>
      </w:pPr>
      <w:rPr>
        <w:rFonts w:ascii="Symbol" w:hAnsi="Symbol"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8B0028B"/>
    <w:multiLevelType w:val="hybridMultilevel"/>
    <w:tmpl w:val="59883F0E"/>
    <w:lvl w:ilvl="0" w:tplc="04090005">
      <w:start w:val="1"/>
      <w:numFmt w:val="bullet"/>
      <w:lvlText w:val=""/>
      <w:lvlJc w:val="left"/>
      <w:pPr>
        <w:tabs>
          <w:tab w:val="num" w:pos="360"/>
        </w:tabs>
        <w:ind w:left="360" w:hanging="360"/>
      </w:pPr>
      <w:rPr>
        <w:rFonts w:ascii="Wingdings" w:hAnsi="Wingdings" w:hint="default"/>
      </w:rPr>
    </w:lvl>
    <w:lvl w:ilvl="1" w:tplc="F5B82556">
      <w:start w:val="1"/>
      <w:numFmt w:val="decimal"/>
      <w:lvlText w:val="%2."/>
      <w:lvlJc w:val="left"/>
      <w:pPr>
        <w:tabs>
          <w:tab w:val="num" w:pos="360"/>
        </w:tabs>
        <w:ind w:left="360" w:hanging="360"/>
      </w:pPr>
      <w:rPr>
        <w:rFonts w:cs="Times New Roman"/>
        <w:b w:val="0"/>
        <w:bCs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CE9776B"/>
    <w:multiLevelType w:val="hybridMultilevel"/>
    <w:tmpl w:val="67549C02"/>
    <w:lvl w:ilvl="0" w:tplc="6C8A54C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275EC"/>
    <w:multiLevelType w:val="hybridMultilevel"/>
    <w:tmpl w:val="5B381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3B53AA"/>
    <w:multiLevelType w:val="hybridMultilevel"/>
    <w:tmpl w:val="B1DE3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17308F"/>
    <w:multiLevelType w:val="hybridMultilevel"/>
    <w:tmpl w:val="BE6A9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
  </w:num>
  <w:num w:numId="6">
    <w:abstractNumId w:val="6"/>
  </w:num>
  <w:num w:numId="7">
    <w:abstractNumId w:val="8"/>
  </w:num>
  <w:num w:numId="8">
    <w:abstractNumId w:val="10"/>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n Med 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trs55a600rv1effwovspsb0e0erzz992ta&quot;&gt;fda&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80458C"/>
    <w:rsid w:val="00002481"/>
    <w:rsid w:val="00003169"/>
    <w:rsid w:val="0000402E"/>
    <w:rsid w:val="00005B76"/>
    <w:rsid w:val="00012A12"/>
    <w:rsid w:val="00015DBA"/>
    <w:rsid w:val="000245C3"/>
    <w:rsid w:val="00025A1C"/>
    <w:rsid w:val="00044AB2"/>
    <w:rsid w:val="0005337F"/>
    <w:rsid w:val="00057E60"/>
    <w:rsid w:val="000628C8"/>
    <w:rsid w:val="00063B51"/>
    <w:rsid w:val="00065EA1"/>
    <w:rsid w:val="00066A36"/>
    <w:rsid w:val="00067272"/>
    <w:rsid w:val="00070077"/>
    <w:rsid w:val="000710AB"/>
    <w:rsid w:val="00074C71"/>
    <w:rsid w:val="000879A7"/>
    <w:rsid w:val="00097809"/>
    <w:rsid w:val="000A1271"/>
    <w:rsid w:val="000A22A9"/>
    <w:rsid w:val="000A2DB1"/>
    <w:rsid w:val="000A39B8"/>
    <w:rsid w:val="000B0345"/>
    <w:rsid w:val="000B2793"/>
    <w:rsid w:val="000B3487"/>
    <w:rsid w:val="000B7E10"/>
    <w:rsid w:val="000C5FCB"/>
    <w:rsid w:val="000D1B47"/>
    <w:rsid w:val="000D4011"/>
    <w:rsid w:val="000D52EF"/>
    <w:rsid w:val="000D5741"/>
    <w:rsid w:val="000D79A5"/>
    <w:rsid w:val="000E00EC"/>
    <w:rsid w:val="000E12B8"/>
    <w:rsid w:val="000E12C8"/>
    <w:rsid w:val="000E7B9E"/>
    <w:rsid w:val="000F1C81"/>
    <w:rsid w:val="000F2063"/>
    <w:rsid w:val="000F21A7"/>
    <w:rsid w:val="000F6F30"/>
    <w:rsid w:val="001013CD"/>
    <w:rsid w:val="00110757"/>
    <w:rsid w:val="001114AC"/>
    <w:rsid w:val="00111B7A"/>
    <w:rsid w:val="00113F38"/>
    <w:rsid w:val="00122651"/>
    <w:rsid w:val="00124296"/>
    <w:rsid w:val="0013014E"/>
    <w:rsid w:val="0013238F"/>
    <w:rsid w:val="00136557"/>
    <w:rsid w:val="00137E4A"/>
    <w:rsid w:val="001448DE"/>
    <w:rsid w:val="00154D00"/>
    <w:rsid w:val="00154ED4"/>
    <w:rsid w:val="00156F36"/>
    <w:rsid w:val="00164270"/>
    <w:rsid w:val="00170580"/>
    <w:rsid w:val="0017080A"/>
    <w:rsid w:val="00171E82"/>
    <w:rsid w:val="0017313E"/>
    <w:rsid w:val="001806DE"/>
    <w:rsid w:val="00181861"/>
    <w:rsid w:val="001821B0"/>
    <w:rsid w:val="00183C54"/>
    <w:rsid w:val="00183C88"/>
    <w:rsid w:val="0019100B"/>
    <w:rsid w:val="00193C5B"/>
    <w:rsid w:val="001A3C75"/>
    <w:rsid w:val="001B0DBF"/>
    <w:rsid w:val="001D11FD"/>
    <w:rsid w:val="001D2A4E"/>
    <w:rsid w:val="001D5F11"/>
    <w:rsid w:val="001D61DE"/>
    <w:rsid w:val="001E180D"/>
    <w:rsid w:val="001E28E3"/>
    <w:rsid w:val="00200257"/>
    <w:rsid w:val="00211CCF"/>
    <w:rsid w:val="002152C1"/>
    <w:rsid w:val="00215D22"/>
    <w:rsid w:val="002247FE"/>
    <w:rsid w:val="00224D86"/>
    <w:rsid w:val="002263F9"/>
    <w:rsid w:val="00226407"/>
    <w:rsid w:val="00236FF5"/>
    <w:rsid w:val="0024066F"/>
    <w:rsid w:val="002462CF"/>
    <w:rsid w:val="00256EE1"/>
    <w:rsid w:val="00267AAC"/>
    <w:rsid w:val="00267EF7"/>
    <w:rsid w:val="00273ABD"/>
    <w:rsid w:val="002772FA"/>
    <w:rsid w:val="0028081A"/>
    <w:rsid w:val="002834CF"/>
    <w:rsid w:val="0029554D"/>
    <w:rsid w:val="002958FE"/>
    <w:rsid w:val="00297D0E"/>
    <w:rsid w:val="002B18DF"/>
    <w:rsid w:val="002B51D7"/>
    <w:rsid w:val="002B584A"/>
    <w:rsid w:val="002C5C94"/>
    <w:rsid w:val="002C6932"/>
    <w:rsid w:val="002D24C3"/>
    <w:rsid w:val="002D5CAC"/>
    <w:rsid w:val="002D608E"/>
    <w:rsid w:val="002E294B"/>
    <w:rsid w:val="002F36D1"/>
    <w:rsid w:val="002F4F17"/>
    <w:rsid w:val="00307D5D"/>
    <w:rsid w:val="00310A98"/>
    <w:rsid w:val="00311C07"/>
    <w:rsid w:val="00311CCE"/>
    <w:rsid w:val="0031332E"/>
    <w:rsid w:val="00317776"/>
    <w:rsid w:val="00320C7C"/>
    <w:rsid w:val="00325EFF"/>
    <w:rsid w:val="003268AA"/>
    <w:rsid w:val="00344B51"/>
    <w:rsid w:val="00346F3E"/>
    <w:rsid w:val="00350C0E"/>
    <w:rsid w:val="0035559E"/>
    <w:rsid w:val="003608CD"/>
    <w:rsid w:val="003619B4"/>
    <w:rsid w:val="00374077"/>
    <w:rsid w:val="003750FF"/>
    <w:rsid w:val="0037534B"/>
    <w:rsid w:val="00377343"/>
    <w:rsid w:val="00387606"/>
    <w:rsid w:val="003A5226"/>
    <w:rsid w:val="003A7C02"/>
    <w:rsid w:val="003B210A"/>
    <w:rsid w:val="003C195A"/>
    <w:rsid w:val="003C2DC3"/>
    <w:rsid w:val="003C3E84"/>
    <w:rsid w:val="003C4F60"/>
    <w:rsid w:val="003D4F79"/>
    <w:rsid w:val="003E5294"/>
    <w:rsid w:val="003F3521"/>
    <w:rsid w:val="0040421D"/>
    <w:rsid w:val="00405490"/>
    <w:rsid w:val="0040571D"/>
    <w:rsid w:val="00410FA6"/>
    <w:rsid w:val="004115AB"/>
    <w:rsid w:val="00412723"/>
    <w:rsid w:val="0041313E"/>
    <w:rsid w:val="00417142"/>
    <w:rsid w:val="004174C5"/>
    <w:rsid w:val="00422650"/>
    <w:rsid w:val="00424297"/>
    <w:rsid w:val="004250CC"/>
    <w:rsid w:val="004268F1"/>
    <w:rsid w:val="004276D7"/>
    <w:rsid w:val="00430583"/>
    <w:rsid w:val="00431488"/>
    <w:rsid w:val="00431FC1"/>
    <w:rsid w:val="00432345"/>
    <w:rsid w:val="00441130"/>
    <w:rsid w:val="00442526"/>
    <w:rsid w:val="00443A2D"/>
    <w:rsid w:val="00446862"/>
    <w:rsid w:val="0045067C"/>
    <w:rsid w:val="00451FD1"/>
    <w:rsid w:val="00454613"/>
    <w:rsid w:val="00462A63"/>
    <w:rsid w:val="00464B40"/>
    <w:rsid w:val="00484C7E"/>
    <w:rsid w:val="00491058"/>
    <w:rsid w:val="00492410"/>
    <w:rsid w:val="004A0473"/>
    <w:rsid w:val="004A0575"/>
    <w:rsid w:val="004A1995"/>
    <w:rsid w:val="004A1FCB"/>
    <w:rsid w:val="004A20CD"/>
    <w:rsid w:val="004A5871"/>
    <w:rsid w:val="004A780A"/>
    <w:rsid w:val="004A7F7D"/>
    <w:rsid w:val="004B119F"/>
    <w:rsid w:val="004B2C07"/>
    <w:rsid w:val="004C076B"/>
    <w:rsid w:val="004C18F0"/>
    <w:rsid w:val="004C324D"/>
    <w:rsid w:val="004C48F3"/>
    <w:rsid w:val="004D2549"/>
    <w:rsid w:val="004D2BC3"/>
    <w:rsid w:val="004E1DDE"/>
    <w:rsid w:val="004E2A76"/>
    <w:rsid w:val="004E66FE"/>
    <w:rsid w:val="004E7CC8"/>
    <w:rsid w:val="004F71C4"/>
    <w:rsid w:val="004F7942"/>
    <w:rsid w:val="00503102"/>
    <w:rsid w:val="00504FDE"/>
    <w:rsid w:val="00510144"/>
    <w:rsid w:val="00511C7B"/>
    <w:rsid w:val="00517288"/>
    <w:rsid w:val="005174FC"/>
    <w:rsid w:val="005205B8"/>
    <w:rsid w:val="005214CF"/>
    <w:rsid w:val="00524F65"/>
    <w:rsid w:val="0052541E"/>
    <w:rsid w:val="00531937"/>
    <w:rsid w:val="005348B4"/>
    <w:rsid w:val="0053514D"/>
    <w:rsid w:val="00536E20"/>
    <w:rsid w:val="00540448"/>
    <w:rsid w:val="00543B98"/>
    <w:rsid w:val="00547218"/>
    <w:rsid w:val="00547E9D"/>
    <w:rsid w:val="0055055B"/>
    <w:rsid w:val="00555462"/>
    <w:rsid w:val="00563DB8"/>
    <w:rsid w:val="00565B45"/>
    <w:rsid w:val="00567AE0"/>
    <w:rsid w:val="005731A9"/>
    <w:rsid w:val="005753A7"/>
    <w:rsid w:val="00585421"/>
    <w:rsid w:val="00585F7A"/>
    <w:rsid w:val="00586E97"/>
    <w:rsid w:val="005871A8"/>
    <w:rsid w:val="00595D86"/>
    <w:rsid w:val="005B665D"/>
    <w:rsid w:val="005C2340"/>
    <w:rsid w:val="005C319C"/>
    <w:rsid w:val="005C400E"/>
    <w:rsid w:val="005C4450"/>
    <w:rsid w:val="005D59AF"/>
    <w:rsid w:val="005D7C48"/>
    <w:rsid w:val="005E36AA"/>
    <w:rsid w:val="005E4083"/>
    <w:rsid w:val="005E4549"/>
    <w:rsid w:val="005E501A"/>
    <w:rsid w:val="005E5FAC"/>
    <w:rsid w:val="005E6D2C"/>
    <w:rsid w:val="005F383B"/>
    <w:rsid w:val="005F7461"/>
    <w:rsid w:val="005F7B54"/>
    <w:rsid w:val="006019CA"/>
    <w:rsid w:val="00602CF9"/>
    <w:rsid w:val="00603F74"/>
    <w:rsid w:val="006072B8"/>
    <w:rsid w:val="00610933"/>
    <w:rsid w:val="00611133"/>
    <w:rsid w:val="00611207"/>
    <w:rsid w:val="00613C98"/>
    <w:rsid w:val="006314F4"/>
    <w:rsid w:val="00636CB3"/>
    <w:rsid w:val="006376EF"/>
    <w:rsid w:val="006400BD"/>
    <w:rsid w:val="00640693"/>
    <w:rsid w:val="00642872"/>
    <w:rsid w:val="006434B1"/>
    <w:rsid w:val="00643A70"/>
    <w:rsid w:val="006509F5"/>
    <w:rsid w:val="0065225F"/>
    <w:rsid w:val="00652D5C"/>
    <w:rsid w:val="0066215A"/>
    <w:rsid w:val="00670CCD"/>
    <w:rsid w:val="006759A6"/>
    <w:rsid w:val="00687A49"/>
    <w:rsid w:val="0069037A"/>
    <w:rsid w:val="006906D8"/>
    <w:rsid w:val="00692574"/>
    <w:rsid w:val="006948F9"/>
    <w:rsid w:val="00697F42"/>
    <w:rsid w:val="006A314B"/>
    <w:rsid w:val="006A56D3"/>
    <w:rsid w:val="006B1643"/>
    <w:rsid w:val="006B5174"/>
    <w:rsid w:val="006D1729"/>
    <w:rsid w:val="006E41E9"/>
    <w:rsid w:val="006F6467"/>
    <w:rsid w:val="006F7974"/>
    <w:rsid w:val="006F7C14"/>
    <w:rsid w:val="00702F31"/>
    <w:rsid w:val="00703CDD"/>
    <w:rsid w:val="00704F86"/>
    <w:rsid w:val="00706850"/>
    <w:rsid w:val="00706BCD"/>
    <w:rsid w:val="00725311"/>
    <w:rsid w:val="00726AA8"/>
    <w:rsid w:val="0074331A"/>
    <w:rsid w:val="007455C9"/>
    <w:rsid w:val="007501EF"/>
    <w:rsid w:val="007502E6"/>
    <w:rsid w:val="00757EE6"/>
    <w:rsid w:val="00760792"/>
    <w:rsid w:val="00760A21"/>
    <w:rsid w:val="00771670"/>
    <w:rsid w:val="007719A3"/>
    <w:rsid w:val="00777FC4"/>
    <w:rsid w:val="00780296"/>
    <w:rsid w:val="00794F50"/>
    <w:rsid w:val="007A3B46"/>
    <w:rsid w:val="007B083F"/>
    <w:rsid w:val="007B6109"/>
    <w:rsid w:val="007B6A3E"/>
    <w:rsid w:val="007C4AF4"/>
    <w:rsid w:val="007D105D"/>
    <w:rsid w:val="007D4229"/>
    <w:rsid w:val="007E2F24"/>
    <w:rsid w:val="007E3167"/>
    <w:rsid w:val="007E4558"/>
    <w:rsid w:val="007F1B66"/>
    <w:rsid w:val="007F33EA"/>
    <w:rsid w:val="007F5E69"/>
    <w:rsid w:val="007F7C15"/>
    <w:rsid w:val="00800A58"/>
    <w:rsid w:val="0080458C"/>
    <w:rsid w:val="00804E8D"/>
    <w:rsid w:val="00806D67"/>
    <w:rsid w:val="00813A4E"/>
    <w:rsid w:val="008154B7"/>
    <w:rsid w:val="00816478"/>
    <w:rsid w:val="0082069B"/>
    <w:rsid w:val="00824017"/>
    <w:rsid w:val="0082644B"/>
    <w:rsid w:val="00827FFC"/>
    <w:rsid w:val="0083167A"/>
    <w:rsid w:val="00845DD5"/>
    <w:rsid w:val="00846BAC"/>
    <w:rsid w:val="00852560"/>
    <w:rsid w:val="00852FB2"/>
    <w:rsid w:val="008552CF"/>
    <w:rsid w:val="00857B8D"/>
    <w:rsid w:val="00866557"/>
    <w:rsid w:val="00872DED"/>
    <w:rsid w:val="008736E2"/>
    <w:rsid w:val="00876655"/>
    <w:rsid w:val="00877CF6"/>
    <w:rsid w:val="008812DF"/>
    <w:rsid w:val="00881A41"/>
    <w:rsid w:val="00882286"/>
    <w:rsid w:val="008826B4"/>
    <w:rsid w:val="008828EC"/>
    <w:rsid w:val="00885F91"/>
    <w:rsid w:val="008878E5"/>
    <w:rsid w:val="0089244D"/>
    <w:rsid w:val="00892521"/>
    <w:rsid w:val="008A3B9B"/>
    <w:rsid w:val="008B0AD0"/>
    <w:rsid w:val="008B2A24"/>
    <w:rsid w:val="008B5C6C"/>
    <w:rsid w:val="008C273D"/>
    <w:rsid w:val="008C7E61"/>
    <w:rsid w:val="008D0B4A"/>
    <w:rsid w:val="008D0D08"/>
    <w:rsid w:val="008D79EB"/>
    <w:rsid w:val="008E3C5E"/>
    <w:rsid w:val="008E539E"/>
    <w:rsid w:val="008F3B3E"/>
    <w:rsid w:val="00901258"/>
    <w:rsid w:val="0090657E"/>
    <w:rsid w:val="00912406"/>
    <w:rsid w:val="00916516"/>
    <w:rsid w:val="00935123"/>
    <w:rsid w:val="009402F1"/>
    <w:rsid w:val="00944CC2"/>
    <w:rsid w:val="00944E5E"/>
    <w:rsid w:val="00947DC5"/>
    <w:rsid w:val="0095462B"/>
    <w:rsid w:val="0095492B"/>
    <w:rsid w:val="009549CC"/>
    <w:rsid w:val="009671F1"/>
    <w:rsid w:val="00970667"/>
    <w:rsid w:val="009814D2"/>
    <w:rsid w:val="00982979"/>
    <w:rsid w:val="00982F67"/>
    <w:rsid w:val="0098427D"/>
    <w:rsid w:val="009A5AA3"/>
    <w:rsid w:val="009A746D"/>
    <w:rsid w:val="009B1BEF"/>
    <w:rsid w:val="009B3AFB"/>
    <w:rsid w:val="009C013C"/>
    <w:rsid w:val="009C071A"/>
    <w:rsid w:val="009C4085"/>
    <w:rsid w:val="009C46FC"/>
    <w:rsid w:val="009D55CB"/>
    <w:rsid w:val="009E60AF"/>
    <w:rsid w:val="009F09DD"/>
    <w:rsid w:val="009F43FD"/>
    <w:rsid w:val="009F7C0D"/>
    <w:rsid w:val="00A011DA"/>
    <w:rsid w:val="00A03A03"/>
    <w:rsid w:val="00A06532"/>
    <w:rsid w:val="00A11610"/>
    <w:rsid w:val="00A22480"/>
    <w:rsid w:val="00A23495"/>
    <w:rsid w:val="00A2401D"/>
    <w:rsid w:val="00A24CB0"/>
    <w:rsid w:val="00A35359"/>
    <w:rsid w:val="00A35CA9"/>
    <w:rsid w:val="00A43343"/>
    <w:rsid w:val="00A4365C"/>
    <w:rsid w:val="00A44723"/>
    <w:rsid w:val="00A45497"/>
    <w:rsid w:val="00A45AFD"/>
    <w:rsid w:val="00A55ABE"/>
    <w:rsid w:val="00A607F5"/>
    <w:rsid w:val="00A60B23"/>
    <w:rsid w:val="00A6214A"/>
    <w:rsid w:val="00A6367B"/>
    <w:rsid w:val="00A66F4C"/>
    <w:rsid w:val="00A71F11"/>
    <w:rsid w:val="00A76444"/>
    <w:rsid w:val="00A84EFC"/>
    <w:rsid w:val="00A97300"/>
    <w:rsid w:val="00AA271D"/>
    <w:rsid w:val="00AA51A2"/>
    <w:rsid w:val="00AB1482"/>
    <w:rsid w:val="00AB1A9D"/>
    <w:rsid w:val="00AB2F16"/>
    <w:rsid w:val="00AB5877"/>
    <w:rsid w:val="00AB6091"/>
    <w:rsid w:val="00AC3EB6"/>
    <w:rsid w:val="00AD0469"/>
    <w:rsid w:val="00AD70B2"/>
    <w:rsid w:val="00AF07F7"/>
    <w:rsid w:val="00B0034D"/>
    <w:rsid w:val="00B06472"/>
    <w:rsid w:val="00B1694E"/>
    <w:rsid w:val="00B2094E"/>
    <w:rsid w:val="00B23E5B"/>
    <w:rsid w:val="00B25982"/>
    <w:rsid w:val="00B37B34"/>
    <w:rsid w:val="00B42544"/>
    <w:rsid w:val="00B43D54"/>
    <w:rsid w:val="00B57463"/>
    <w:rsid w:val="00B60BF2"/>
    <w:rsid w:val="00B630A7"/>
    <w:rsid w:val="00B63E1F"/>
    <w:rsid w:val="00B702E7"/>
    <w:rsid w:val="00B727C3"/>
    <w:rsid w:val="00B72928"/>
    <w:rsid w:val="00B8091D"/>
    <w:rsid w:val="00B9589F"/>
    <w:rsid w:val="00B973B9"/>
    <w:rsid w:val="00BA19B8"/>
    <w:rsid w:val="00BA56AD"/>
    <w:rsid w:val="00BA6458"/>
    <w:rsid w:val="00BA6844"/>
    <w:rsid w:val="00BA78FF"/>
    <w:rsid w:val="00BC339F"/>
    <w:rsid w:val="00BC42B1"/>
    <w:rsid w:val="00BC7A1F"/>
    <w:rsid w:val="00BC7AEE"/>
    <w:rsid w:val="00BE3B3F"/>
    <w:rsid w:val="00BE5644"/>
    <w:rsid w:val="00BF0B8A"/>
    <w:rsid w:val="00BF196A"/>
    <w:rsid w:val="00BF1C24"/>
    <w:rsid w:val="00BF225D"/>
    <w:rsid w:val="00BF32CF"/>
    <w:rsid w:val="00C00F56"/>
    <w:rsid w:val="00C06494"/>
    <w:rsid w:val="00C068DF"/>
    <w:rsid w:val="00C07A5C"/>
    <w:rsid w:val="00C237CA"/>
    <w:rsid w:val="00C32780"/>
    <w:rsid w:val="00C32BF4"/>
    <w:rsid w:val="00C33769"/>
    <w:rsid w:val="00C45409"/>
    <w:rsid w:val="00C47C9A"/>
    <w:rsid w:val="00C67BF7"/>
    <w:rsid w:val="00C74384"/>
    <w:rsid w:val="00C826ED"/>
    <w:rsid w:val="00C84939"/>
    <w:rsid w:val="00C96ABB"/>
    <w:rsid w:val="00C96F43"/>
    <w:rsid w:val="00CA21C8"/>
    <w:rsid w:val="00CA59A7"/>
    <w:rsid w:val="00CA6252"/>
    <w:rsid w:val="00CD0A71"/>
    <w:rsid w:val="00CD2B75"/>
    <w:rsid w:val="00CF171E"/>
    <w:rsid w:val="00D01B0B"/>
    <w:rsid w:val="00D01B8F"/>
    <w:rsid w:val="00D03A5E"/>
    <w:rsid w:val="00D05D18"/>
    <w:rsid w:val="00D115B9"/>
    <w:rsid w:val="00D171E9"/>
    <w:rsid w:val="00D20E46"/>
    <w:rsid w:val="00D31171"/>
    <w:rsid w:val="00D326BC"/>
    <w:rsid w:val="00D3559B"/>
    <w:rsid w:val="00D36AFA"/>
    <w:rsid w:val="00D36CA5"/>
    <w:rsid w:val="00D3727A"/>
    <w:rsid w:val="00D412E5"/>
    <w:rsid w:val="00D41ECC"/>
    <w:rsid w:val="00D43E5F"/>
    <w:rsid w:val="00D50388"/>
    <w:rsid w:val="00D53F43"/>
    <w:rsid w:val="00D5708F"/>
    <w:rsid w:val="00D60FDF"/>
    <w:rsid w:val="00D61BD8"/>
    <w:rsid w:val="00D62F74"/>
    <w:rsid w:val="00D648A1"/>
    <w:rsid w:val="00D64F64"/>
    <w:rsid w:val="00D7211A"/>
    <w:rsid w:val="00D76D43"/>
    <w:rsid w:val="00D826DB"/>
    <w:rsid w:val="00D827BC"/>
    <w:rsid w:val="00D84D50"/>
    <w:rsid w:val="00D86EBC"/>
    <w:rsid w:val="00D87AB2"/>
    <w:rsid w:val="00D97AEB"/>
    <w:rsid w:val="00DA0C0F"/>
    <w:rsid w:val="00DA19DF"/>
    <w:rsid w:val="00DA1CB6"/>
    <w:rsid w:val="00DA523D"/>
    <w:rsid w:val="00DA5345"/>
    <w:rsid w:val="00DA78D0"/>
    <w:rsid w:val="00DB391B"/>
    <w:rsid w:val="00DB3C8B"/>
    <w:rsid w:val="00DB4BCA"/>
    <w:rsid w:val="00DB55C9"/>
    <w:rsid w:val="00DB7982"/>
    <w:rsid w:val="00DC0FF8"/>
    <w:rsid w:val="00DD7A27"/>
    <w:rsid w:val="00DE24C2"/>
    <w:rsid w:val="00DE37CF"/>
    <w:rsid w:val="00DE76C6"/>
    <w:rsid w:val="00DF07EE"/>
    <w:rsid w:val="00DF1682"/>
    <w:rsid w:val="00DF16A5"/>
    <w:rsid w:val="00DF42F9"/>
    <w:rsid w:val="00DF534F"/>
    <w:rsid w:val="00DF7BCC"/>
    <w:rsid w:val="00E0011E"/>
    <w:rsid w:val="00E1082B"/>
    <w:rsid w:val="00E10CDB"/>
    <w:rsid w:val="00E17F93"/>
    <w:rsid w:val="00E21E25"/>
    <w:rsid w:val="00E26ED2"/>
    <w:rsid w:val="00E31AD7"/>
    <w:rsid w:val="00E33963"/>
    <w:rsid w:val="00E400B1"/>
    <w:rsid w:val="00E46651"/>
    <w:rsid w:val="00E5049A"/>
    <w:rsid w:val="00E527E9"/>
    <w:rsid w:val="00E56DB1"/>
    <w:rsid w:val="00E62968"/>
    <w:rsid w:val="00E6344D"/>
    <w:rsid w:val="00E6792E"/>
    <w:rsid w:val="00E67D34"/>
    <w:rsid w:val="00E701D0"/>
    <w:rsid w:val="00E82026"/>
    <w:rsid w:val="00E83F53"/>
    <w:rsid w:val="00E90D79"/>
    <w:rsid w:val="00E934F5"/>
    <w:rsid w:val="00E93B95"/>
    <w:rsid w:val="00E95362"/>
    <w:rsid w:val="00EA0074"/>
    <w:rsid w:val="00EA3271"/>
    <w:rsid w:val="00EA7D84"/>
    <w:rsid w:val="00EC0395"/>
    <w:rsid w:val="00EC0505"/>
    <w:rsid w:val="00EC1A38"/>
    <w:rsid w:val="00EC6694"/>
    <w:rsid w:val="00EC67B6"/>
    <w:rsid w:val="00ED1E3C"/>
    <w:rsid w:val="00ED5908"/>
    <w:rsid w:val="00EE7D15"/>
    <w:rsid w:val="00EF3584"/>
    <w:rsid w:val="00F0273C"/>
    <w:rsid w:val="00F03B8A"/>
    <w:rsid w:val="00F073ED"/>
    <w:rsid w:val="00F11DEB"/>
    <w:rsid w:val="00F16239"/>
    <w:rsid w:val="00F22207"/>
    <w:rsid w:val="00F26E7A"/>
    <w:rsid w:val="00F309D8"/>
    <w:rsid w:val="00F5096E"/>
    <w:rsid w:val="00F53CA5"/>
    <w:rsid w:val="00F542B5"/>
    <w:rsid w:val="00F556EE"/>
    <w:rsid w:val="00F61A31"/>
    <w:rsid w:val="00F73676"/>
    <w:rsid w:val="00F749AA"/>
    <w:rsid w:val="00F75BBE"/>
    <w:rsid w:val="00F80CC5"/>
    <w:rsid w:val="00F821E6"/>
    <w:rsid w:val="00F84318"/>
    <w:rsid w:val="00F85B98"/>
    <w:rsid w:val="00F8671D"/>
    <w:rsid w:val="00F87E93"/>
    <w:rsid w:val="00F93EF8"/>
    <w:rsid w:val="00F94FD6"/>
    <w:rsid w:val="00F95333"/>
    <w:rsid w:val="00FA1EEA"/>
    <w:rsid w:val="00FA1F92"/>
    <w:rsid w:val="00FB0A9D"/>
    <w:rsid w:val="00FB2C40"/>
    <w:rsid w:val="00FB2FCA"/>
    <w:rsid w:val="00FB5EE4"/>
    <w:rsid w:val="00FC039A"/>
    <w:rsid w:val="00FC734D"/>
    <w:rsid w:val="00FD3196"/>
    <w:rsid w:val="00FE6005"/>
    <w:rsid w:val="00FF10F5"/>
    <w:rsid w:val="00FF191D"/>
    <w:rsid w:val="00FF409C"/>
    <w:rsid w:val="00FF7A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D13A0"/>
  <w15:chartTrackingRefBased/>
  <w15:docId w15:val="{264FDC37-1BF2-4823-A04D-21A708B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565B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595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B03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BodyText"/>
    <w:link w:val="Heading4Char"/>
    <w:rsid w:val="00881A41"/>
    <w:pPr>
      <w:keepNext/>
      <w:spacing w:after="120" w:line="360" w:lineRule="auto"/>
      <w:outlineLvl w:val="3"/>
    </w:pPr>
    <w:rPr>
      <w:rFonts w:ascii="Comic Sans MS" w:eastAsia="Times New Roman" w:hAnsi="Comic Sans MS" w:cs="Times New Roman"/>
      <w:b/>
      <w:bCs/>
      <w:noProof/>
      <w:sz w:val="30"/>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link w:val="PChar"/>
    <w:qFormat/>
    <w:rsid w:val="00A11610"/>
    <w:pPr>
      <w:spacing w:before="240" w:after="0" w:line="240" w:lineRule="auto"/>
      <w:jc w:val="lowKashida"/>
    </w:pPr>
    <w:rPr>
      <w:rFonts w:asciiTheme="majorBidi" w:hAnsiTheme="majorBidi" w:cstheme="majorBidi"/>
      <w:sz w:val="24"/>
      <w:szCs w:val="24"/>
    </w:rPr>
  </w:style>
  <w:style w:type="character" w:customStyle="1" w:styleId="PChar">
    <w:name w:val="P Char"/>
    <w:link w:val="P"/>
    <w:rsid w:val="00A11610"/>
    <w:rPr>
      <w:rFonts w:asciiTheme="majorBidi" w:hAnsiTheme="majorBidi" w:cstheme="majorBidi"/>
      <w:sz w:val="24"/>
      <w:szCs w:val="24"/>
    </w:rPr>
  </w:style>
  <w:style w:type="paragraph" w:styleId="Caption">
    <w:name w:val="caption"/>
    <w:aliases w:val="Table Caption"/>
    <w:basedOn w:val="Normal"/>
    <w:next w:val="Normal"/>
    <w:link w:val="CaptionChar"/>
    <w:uiPriority w:val="35"/>
    <w:unhideWhenUsed/>
    <w:rsid w:val="008826B4"/>
    <w:pPr>
      <w:keepNext/>
      <w:spacing w:after="200" w:line="240" w:lineRule="auto"/>
    </w:pPr>
    <w:rPr>
      <w:rFonts w:ascii="Times New Roman" w:eastAsia="Times New Roman" w:hAnsi="Times New Roman" w:cs="Times New Roman"/>
      <w:b/>
      <w:bCs/>
      <w:color w:val="000000"/>
      <w:sz w:val="24"/>
      <w:szCs w:val="36"/>
      <w:lang w:val="en-GB" w:eastAsia="x-none"/>
    </w:rPr>
  </w:style>
  <w:style w:type="character" w:customStyle="1" w:styleId="CaptionChar">
    <w:name w:val="Caption Char"/>
    <w:aliases w:val="Table Caption Char"/>
    <w:link w:val="Caption"/>
    <w:rsid w:val="008826B4"/>
    <w:rPr>
      <w:rFonts w:ascii="Times New Roman" w:eastAsia="Times New Roman" w:hAnsi="Times New Roman" w:cs="Times New Roman"/>
      <w:b/>
      <w:bCs/>
      <w:color w:val="000000"/>
      <w:sz w:val="24"/>
      <w:szCs w:val="36"/>
      <w:lang w:val="en-GB" w:eastAsia="x-none"/>
    </w:rPr>
  </w:style>
  <w:style w:type="table" w:customStyle="1" w:styleId="TableGrid3">
    <w:name w:val="Table Grid3"/>
    <w:basedOn w:val="TableNormal"/>
    <w:next w:val="TableGrid"/>
    <w:uiPriority w:val="39"/>
    <w:rsid w:val="008826B4"/>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ote">
    <w:name w:val="F-note"/>
    <w:basedOn w:val="Normal"/>
    <w:link w:val="F-noteChar"/>
    <w:qFormat/>
    <w:rsid w:val="00E10CDB"/>
    <w:pPr>
      <w:spacing w:after="0" w:line="240" w:lineRule="auto"/>
      <w:jc w:val="both"/>
    </w:pPr>
    <w:rPr>
      <w:rFonts w:ascii="Times New Roman" w:eastAsia="Times New Roman" w:hAnsi="Times New Roman" w:cs="Akhbar MT"/>
      <w:sz w:val="20"/>
      <w:szCs w:val="20"/>
      <w:lang w:eastAsia="zh-CN"/>
    </w:rPr>
  </w:style>
  <w:style w:type="character" w:customStyle="1" w:styleId="F-noteChar">
    <w:name w:val="F-note Char"/>
    <w:link w:val="F-note"/>
    <w:rsid w:val="00E10CDB"/>
    <w:rPr>
      <w:rFonts w:ascii="Times New Roman" w:eastAsia="Times New Roman" w:hAnsi="Times New Roman" w:cs="Akhbar MT"/>
      <w:sz w:val="20"/>
      <w:szCs w:val="20"/>
      <w:lang w:eastAsia="zh-CN"/>
    </w:rPr>
  </w:style>
  <w:style w:type="character" w:customStyle="1" w:styleId="FigChar">
    <w:name w:val="Fig Char"/>
    <w:link w:val="Fig"/>
    <w:locked/>
    <w:rsid w:val="00882286"/>
    <w:rPr>
      <w:rFonts w:asciiTheme="majorBidi" w:hAnsiTheme="majorBidi" w:cstheme="majorBidi"/>
      <w:b/>
      <w:bCs/>
      <w:sz w:val="24"/>
      <w:szCs w:val="24"/>
    </w:rPr>
  </w:style>
  <w:style w:type="paragraph" w:customStyle="1" w:styleId="Fig">
    <w:name w:val="Fig"/>
    <w:basedOn w:val="Normal"/>
    <w:link w:val="FigChar"/>
    <w:qFormat/>
    <w:rsid w:val="00882286"/>
    <w:pPr>
      <w:spacing w:after="0" w:line="240" w:lineRule="auto"/>
      <w:jc w:val="center"/>
    </w:pPr>
    <w:rPr>
      <w:rFonts w:asciiTheme="majorBidi" w:hAnsiTheme="majorBidi" w:cstheme="majorBidi"/>
      <w:b/>
      <w:bCs/>
      <w:sz w:val="24"/>
      <w:szCs w:val="24"/>
    </w:rPr>
  </w:style>
  <w:style w:type="table" w:customStyle="1" w:styleId="GridTable1Light1">
    <w:name w:val="Grid Table 1 Light1"/>
    <w:basedOn w:val="TableNormal"/>
    <w:uiPriority w:val="46"/>
    <w:rsid w:val="00F11DEB"/>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1D5F11"/>
    <w:pPr>
      <w:spacing w:after="0"/>
      <w:jc w:val="center"/>
    </w:pPr>
    <w:rPr>
      <w:rFonts w:ascii="Times New Roman" w:hAnsi="Times New Roman" w:cs="Times New Roman"/>
      <w:noProof/>
      <w:sz w:val="24"/>
    </w:rPr>
  </w:style>
  <w:style w:type="character" w:customStyle="1" w:styleId="EndNoteBibliographyTitleChar">
    <w:name w:val="EndNote Bibliography Title Char"/>
    <w:basedOn w:val="FigChar"/>
    <w:link w:val="EndNoteBibliographyTitle"/>
    <w:rsid w:val="001D5F11"/>
    <w:rPr>
      <w:rFonts w:ascii="Times New Roman" w:hAnsi="Times New Roman" w:cs="Times New Roman"/>
      <w:b w:val="0"/>
      <w:bCs w:val="0"/>
      <w:noProof/>
      <w:sz w:val="24"/>
      <w:szCs w:val="24"/>
    </w:rPr>
  </w:style>
  <w:style w:type="paragraph" w:customStyle="1" w:styleId="EndNoteBibliography">
    <w:name w:val="EndNote Bibliography"/>
    <w:basedOn w:val="Normal"/>
    <w:link w:val="EndNoteBibliographyChar"/>
    <w:rsid w:val="001D5F11"/>
    <w:pPr>
      <w:spacing w:line="240" w:lineRule="auto"/>
    </w:pPr>
    <w:rPr>
      <w:rFonts w:ascii="Times New Roman" w:hAnsi="Times New Roman" w:cs="Times New Roman"/>
      <w:noProof/>
      <w:sz w:val="24"/>
    </w:rPr>
  </w:style>
  <w:style w:type="character" w:customStyle="1" w:styleId="EndNoteBibliographyChar">
    <w:name w:val="EndNote Bibliography Char"/>
    <w:basedOn w:val="FigChar"/>
    <w:link w:val="EndNoteBibliography"/>
    <w:rsid w:val="001D5F11"/>
    <w:rPr>
      <w:rFonts w:ascii="Times New Roman" w:hAnsi="Times New Roman" w:cs="Times New Roman"/>
      <w:b w:val="0"/>
      <w:bCs w:val="0"/>
      <w:noProof/>
      <w:sz w:val="24"/>
      <w:szCs w:val="24"/>
    </w:rPr>
  </w:style>
  <w:style w:type="character" w:styleId="Hyperlink">
    <w:name w:val="Hyperlink"/>
    <w:basedOn w:val="DefaultParagraphFont"/>
    <w:uiPriority w:val="99"/>
    <w:unhideWhenUsed/>
    <w:rsid w:val="001D5F11"/>
    <w:rPr>
      <w:color w:val="0563C1" w:themeColor="hyperlink"/>
      <w:u w:val="single"/>
    </w:rPr>
  </w:style>
  <w:style w:type="character" w:styleId="UnresolvedMention">
    <w:name w:val="Unresolved Mention"/>
    <w:basedOn w:val="DefaultParagraphFont"/>
    <w:uiPriority w:val="99"/>
    <w:semiHidden/>
    <w:unhideWhenUsed/>
    <w:rsid w:val="001D5F11"/>
    <w:rPr>
      <w:color w:val="605E5C"/>
      <w:shd w:val="clear" w:color="auto" w:fill="E1DFDD"/>
    </w:rPr>
  </w:style>
  <w:style w:type="paragraph" w:styleId="Header">
    <w:name w:val="header"/>
    <w:aliases w:val=" Char"/>
    <w:basedOn w:val="Normal"/>
    <w:link w:val="HeaderChar"/>
    <w:unhideWhenUsed/>
    <w:rsid w:val="00C74384"/>
    <w:pPr>
      <w:tabs>
        <w:tab w:val="center" w:pos="4320"/>
        <w:tab w:val="right" w:pos="8640"/>
      </w:tabs>
      <w:spacing w:after="0" w:line="240" w:lineRule="auto"/>
    </w:pPr>
  </w:style>
  <w:style w:type="character" w:customStyle="1" w:styleId="HeaderChar">
    <w:name w:val="Header Char"/>
    <w:aliases w:val=" Char Char"/>
    <w:basedOn w:val="DefaultParagraphFont"/>
    <w:link w:val="Header"/>
    <w:rsid w:val="00C74384"/>
  </w:style>
  <w:style w:type="paragraph" w:styleId="Footer">
    <w:name w:val="footer"/>
    <w:basedOn w:val="Normal"/>
    <w:link w:val="FooterChar"/>
    <w:uiPriority w:val="99"/>
    <w:unhideWhenUsed/>
    <w:rsid w:val="00C7438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74384"/>
  </w:style>
  <w:style w:type="paragraph" w:customStyle="1" w:styleId="H2">
    <w:name w:val="H2"/>
    <w:basedOn w:val="P"/>
    <w:link w:val="H2Char"/>
    <w:rsid w:val="007E2F24"/>
    <w:rPr>
      <w:b/>
      <w:bCs/>
    </w:rPr>
  </w:style>
  <w:style w:type="character" w:customStyle="1" w:styleId="H2Char">
    <w:name w:val="H2 Char"/>
    <w:basedOn w:val="PChar"/>
    <w:link w:val="H2"/>
    <w:rsid w:val="007E2F24"/>
    <w:rPr>
      <w:rFonts w:asciiTheme="majorBidi" w:hAnsiTheme="majorBidi" w:cstheme="majorBidi"/>
      <w:b/>
      <w:bCs/>
      <w:sz w:val="24"/>
      <w:szCs w:val="24"/>
    </w:rPr>
  </w:style>
  <w:style w:type="paragraph" w:styleId="ListParagraph">
    <w:name w:val="List Paragraph"/>
    <w:basedOn w:val="Normal"/>
    <w:uiPriority w:val="34"/>
    <w:rsid w:val="00613C98"/>
    <w:pPr>
      <w:ind w:left="720"/>
      <w:contextualSpacing/>
    </w:pPr>
  </w:style>
  <w:style w:type="paragraph" w:customStyle="1" w:styleId="Default">
    <w:name w:val="Default"/>
    <w:rsid w:val="00FB2C4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4Char">
    <w:name w:val="Heading 4 Char"/>
    <w:basedOn w:val="DefaultParagraphFont"/>
    <w:link w:val="Heading4"/>
    <w:rsid w:val="00881A41"/>
    <w:rPr>
      <w:rFonts w:ascii="Comic Sans MS" w:eastAsia="Times New Roman" w:hAnsi="Comic Sans MS" w:cs="Times New Roman"/>
      <w:b/>
      <w:bCs/>
      <w:noProof/>
      <w:sz w:val="30"/>
      <w:szCs w:val="28"/>
      <w:lang w:eastAsia="ar-SA"/>
    </w:rPr>
  </w:style>
  <w:style w:type="paragraph" w:styleId="BodyText">
    <w:name w:val="Body Text"/>
    <w:basedOn w:val="Normal"/>
    <w:link w:val="BodyTextChar"/>
    <w:uiPriority w:val="99"/>
    <w:unhideWhenUsed/>
    <w:rsid w:val="00881A41"/>
    <w:pPr>
      <w:spacing w:after="120"/>
    </w:pPr>
  </w:style>
  <w:style w:type="character" w:customStyle="1" w:styleId="BodyTextChar">
    <w:name w:val="Body Text Char"/>
    <w:basedOn w:val="DefaultParagraphFont"/>
    <w:link w:val="BodyText"/>
    <w:uiPriority w:val="99"/>
    <w:rsid w:val="00881A41"/>
  </w:style>
  <w:style w:type="paragraph" w:customStyle="1" w:styleId="H3">
    <w:name w:val="H3"/>
    <w:basedOn w:val="Heading3"/>
    <w:rsid w:val="000B0345"/>
    <w:pPr>
      <w:keepLines w:val="0"/>
      <w:spacing w:before="0" w:after="120" w:line="360" w:lineRule="auto"/>
    </w:pPr>
    <w:rPr>
      <w:rFonts w:ascii="Arial Black" w:eastAsia="Times New Roman" w:hAnsi="Arial Black" w:cs="Times New Roman"/>
      <w:bCs/>
      <w:noProof/>
      <w:color w:val="auto"/>
      <w:sz w:val="36"/>
      <w:szCs w:val="32"/>
      <w:lang w:eastAsia="ar-SA"/>
    </w:rPr>
  </w:style>
  <w:style w:type="paragraph" w:customStyle="1" w:styleId="b">
    <w:name w:val="b"/>
    <w:basedOn w:val="Normal"/>
    <w:rsid w:val="000B0345"/>
    <w:pPr>
      <w:spacing w:after="240" w:line="360" w:lineRule="auto"/>
      <w:ind w:firstLine="578"/>
      <w:jc w:val="lowKashida"/>
    </w:pPr>
    <w:rPr>
      <w:rFonts w:ascii="Times New Roman" w:eastAsia="Times New Roman" w:hAnsi="Times New Roman" w:cs="Times New Roman"/>
      <w:noProof/>
      <w:sz w:val="30"/>
      <w:szCs w:val="28"/>
      <w:lang w:bidi="ar-EG"/>
    </w:rPr>
  </w:style>
  <w:style w:type="character" w:customStyle="1" w:styleId="Heading3Char">
    <w:name w:val="Heading 3 Char"/>
    <w:basedOn w:val="DefaultParagraphFont"/>
    <w:link w:val="Heading3"/>
    <w:uiPriority w:val="9"/>
    <w:semiHidden/>
    <w:rsid w:val="000B0345"/>
    <w:rPr>
      <w:rFonts w:asciiTheme="majorHAnsi" w:eastAsiaTheme="majorEastAsia" w:hAnsiTheme="majorHAnsi" w:cstheme="majorBidi"/>
      <w:color w:val="1F4D78" w:themeColor="accent1" w:themeShade="7F"/>
      <w:sz w:val="24"/>
      <w:szCs w:val="24"/>
    </w:rPr>
  </w:style>
  <w:style w:type="character" w:customStyle="1" w:styleId="ref">
    <w:name w:val="ref"/>
    <w:rsid w:val="00C84939"/>
    <w:rPr>
      <w:b/>
    </w:rPr>
  </w:style>
  <w:style w:type="character" w:customStyle="1" w:styleId="Heading1Char">
    <w:name w:val="Heading 1 Char"/>
    <w:basedOn w:val="DefaultParagraphFont"/>
    <w:link w:val="Heading1"/>
    <w:uiPriority w:val="1"/>
    <w:rsid w:val="00565B4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rsid w:val="000D79A5"/>
    <w:pPr>
      <w:widowControl w:val="0"/>
      <w:autoSpaceDE w:val="0"/>
      <w:autoSpaceDN w:val="0"/>
      <w:spacing w:after="0" w:line="240" w:lineRule="auto"/>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F10F5"/>
    <w:rPr>
      <w:sz w:val="16"/>
      <w:szCs w:val="16"/>
    </w:rPr>
  </w:style>
  <w:style w:type="paragraph" w:styleId="NoSpacing">
    <w:name w:val="No Spacing"/>
    <w:aliases w:val="Table"/>
    <w:basedOn w:val="Normal"/>
    <w:uiPriority w:val="1"/>
    <w:qFormat/>
    <w:rsid w:val="00760792"/>
    <w:pPr>
      <w:keepNext/>
      <w:spacing w:after="0" w:line="240" w:lineRule="auto"/>
      <w:jc w:val="both"/>
    </w:pPr>
    <w:rPr>
      <w:rFonts w:asciiTheme="majorBidi" w:eastAsia="Calibri" w:hAnsiTheme="majorBidi" w:cstheme="majorBidi"/>
      <w:b/>
      <w:bCs/>
      <w:sz w:val="24"/>
      <w:szCs w:val="24"/>
    </w:rPr>
  </w:style>
  <w:style w:type="paragraph" w:customStyle="1" w:styleId="footnote">
    <w:name w:val="footnote"/>
    <w:basedOn w:val="Normal"/>
    <w:link w:val="footnoteChar"/>
    <w:rsid w:val="00935123"/>
    <w:pPr>
      <w:spacing w:after="200" w:line="276" w:lineRule="auto"/>
    </w:pPr>
    <w:rPr>
      <w:rFonts w:asciiTheme="majorBidi" w:eastAsiaTheme="minorEastAsia" w:hAnsiTheme="majorBidi" w:cstheme="majorBidi"/>
      <w:sz w:val="24"/>
      <w:szCs w:val="24"/>
      <w:lang w:bidi="ar-EG"/>
    </w:rPr>
  </w:style>
  <w:style w:type="character" w:customStyle="1" w:styleId="footnoteChar">
    <w:name w:val="footnote Char"/>
    <w:basedOn w:val="DefaultParagraphFont"/>
    <w:link w:val="footnote"/>
    <w:rsid w:val="00935123"/>
    <w:rPr>
      <w:rFonts w:asciiTheme="majorBidi" w:eastAsiaTheme="minorEastAsia" w:hAnsiTheme="majorBidi" w:cstheme="majorBidi"/>
      <w:sz w:val="24"/>
      <w:szCs w:val="24"/>
      <w:lang w:bidi="ar-EG"/>
    </w:rPr>
  </w:style>
  <w:style w:type="paragraph" w:customStyle="1" w:styleId="paragraph">
    <w:name w:val="paragraph"/>
    <w:basedOn w:val="Normal"/>
    <w:link w:val="paragraphChar"/>
    <w:rsid w:val="0000402E"/>
    <w:pPr>
      <w:spacing w:before="200" w:after="200" w:line="360" w:lineRule="auto"/>
      <w:ind w:firstLine="720"/>
      <w:jc w:val="both"/>
    </w:pPr>
    <w:rPr>
      <w:rFonts w:asciiTheme="majorBidi" w:eastAsia="AdvOT678fd422" w:hAnsiTheme="majorBidi" w:cstheme="majorBidi"/>
      <w:color w:val="000000" w:themeColor="text1"/>
      <w:sz w:val="28"/>
      <w:lang w:bidi="ar-EG"/>
    </w:rPr>
  </w:style>
  <w:style w:type="character" w:customStyle="1" w:styleId="paragraphChar">
    <w:name w:val="paragraph Char"/>
    <w:basedOn w:val="DefaultParagraphFont"/>
    <w:link w:val="paragraph"/>
    <w:rsid w:val="0000402E"/>
    <w:rPr>
      <w:rFonts w:asciiTheme="majorBidi" w:eastAsia="AdvOT678fd422" w:hAnsiTheme="majorBidi" w:cstheme="majorBidi"/>
      <w:color w:val="000000" w:themeColor="text1"/>
      <w:sz w:val="28"/>
      <w:lang w:bidi="ar-EG"/>
    </w:rPr>
  </w:style>
  <w:style w:type="paragraph" w:customStyle="1" w:styleId="FigCap">
    <w:name w:val="Fig Cap"/>
    <w:basedOn w:val="Normal"/>
    <w:link w:val="FigCapChar"/>
    <w:rsid w:val="0000402E"/>
    <w:pPr>
      <w:spacing w:before="200" w:after="200" w:line="276" w:lineRule="auto"/>
      <w:jc w:val="center"/>
    </w:pPr>
    <w:rPr>
      <w:rFonts w:asciiTheme="majorBidi" w:eastAsiaTheme="minorEastAsia" w:hAnsiTheme="majorBidi" w:cstheme="majorBidi"/>
      <w:b/>
      <w:bCs/>
      <w:color w:val="000000" w:themeColor="text1"/>
      <w:sz w:val="28"/>
      <w:szCs w:val="28"/>
      <w:lang w:bidi="ar-EG"/>
    </w:rPr>
  </w:style>
  <w:style w:type="character" w:customStyle="1" w:styleId="FigCapChar">
    <w:name w:val="Fig Cap Char"/>
    <w:basedOn w:val="DefaultParagraphFont"/>
    <w:link w:val="FigCap"/>
    <w:rsid w:val="0000402E"/>
    <w:rPr>
      <w:rFonts w:asciiTheme="majorBidi" w:eastAsiaTheme="minorEastAsia" w:hAnsiTheme="majorBidi" w:cstheme="majorBidi"/>
      <w:b/>
      <w:bCs/>
      <w:color w:val="000000" w:themeColor="text1"/>
      <w:sz w:val="28"/>
      <w:szCs w:val="28"/>
      <w:lang w:bidi="ar-EG"/>
    </w:rPr>
  </w:style>
  <w:style w:type="character" w:customStyle="1" w:styleId="Heading2Char">
    <w:name w:val="Heading 2 Char"/>
    <w:basedOn w:val="DefaultParagraphFont"/>
    <w:link w:val="Heading2"/>
    <w:uiPriority w:val="9"/>
    <w:rsid w:val="00595D8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rsid w:val="000710AB"/>
    <w:rPr>
      <w:i/>
      <w:iCs/>
    </w:rPr>
  </w:style>
  <w:style w:type="table" w:customStyle="1" w:styleId="TableGrid7">
    <w:name w:val="Table Grid7"/>
    <w:basedOn w:val="TableNormal"/>
    <w:next w:val="TableGrid"/>
    <w:uiPriority w:val="39"/>
    <w:rsid w:val="00BC7A1F"/>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0F56"/>
    <w:pPr>
      <w:spacing w:after="0" w:line="240" w:lineRule="auto"/>
    </w:pPr>
    <w:rPr>
      <w:rFonts w:eastAsia="Calibr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Heading1"/>
    <w:link w:val="Header1Char"/>
    <w:rsid w:val="00E0011E"/>
    <w:pPr>
      <w:spacing w:before="0" w:line="360" w:lineRule="auto"/>
      <w:jc w:val="both"/>
    </w:pPr>
    <w:rPr>
      <w:rFonts w:asciiTheme="majorBidi" w:hAnsiTheme="majorBidi"/>
      <w:b/>
      <w:bCs/>
      <w:color w:val="000000" w:themeColor="text1"/>
      <w:sz w:val="36"/>
      <w:szCs w:val="36"/>
      <w:lang w:bidi="en-US"/>
    </w:rPr>
  </w:style>
  <w:style w:type="character" w:customStyle="1" w:styleId="Header1Char">
    <w:name w:val="Header 1 Char"/>
    <w:basedOn w:val="Heading1Char"/>
    <w:link w:val="Header1"/>
    <w:rsid w:val="00E0011E"/>
    <w:rPr>
      <w:rFonts w:asciiTheme="majorBidi" w:eastAsiaTheme="majorEastAsia" w:hAnsiTheme="majorBidi" w:cstheme="majorBidi"/>
      <w:b/>
      <w:bCs/>
      <w:color w:val="000000" w:themeColor="text1"/>
      <w:sz w:val="36"/>
      <w:szCs w:val="36"/>
      <w:lang w:bidi="en-US"/>
    </w:rPr>
  </w:style>
  <w:style w:type="paragraph" w:customStyle="1" w:styleId="FigTanta">
    <w:name w:val="Fig _ Tanta"/>
    <w:basedOn w:val="Normal"/>
    <w:next w:val="Fig"/>
    <w:link w:val="FigTantaChar"/>
    <w:rsid w:val="00E0011E"/>
    <w:pPr>
      <w:spacing w:line="240" w:lineRule="auto"/>
      <w:jc w:val="center"/>
    </w:pPr>
    <w:rPr>
      <w:rFonts w:ascii="Times New Roman" w:eastAsia="Calibri" w:hAnsi="Times New Roman" w:cs="Times New Roman"/>
      <w:b/>
      <w:color w:val="000000" w:themeColor="text1"/>
      <w:sz w:val="28"/>
      <w:szCs w:val="24"/>
      <w:lang w:bidi="ar-EG"/>
    </w:rPr>
  </w:style>
  <w:style w:type="character" w:customStyle="1" w:styleId="FigTantaChar">
    <w:name w:val="Fig _ Tanta Char"/>
    <w:basedOn w:val="DefaultParagraphFont"/>
    <w:link w:val="FigTanta"/>
    <w:rsid w:val="00E0011E"/>
    <w:rPr>
      <w:rFonts w:ascii="Times New Roman" w:eastAsia="Calibri" w:hAnsi="Times New Roman" w:cs="Times New Roman"/>
      <w:b/>
      <w:color w:val="000000" w:themeColor="text1"/>
      <w:sz w:val="28"/>
      <w:szCs w:val="24"/>
      <w:lang w:bidi="ar-EG"/>
    </w:rPr>
  </w:style>
  <w:style w:type="paragraph" w:customStyle="1" w:styleId="PP">
    <w:name w:val="P   P"/>
    <w:basedOn w:val="Normal"/>
    <w:link w:val="PPChar"/>
    <w:autoRedefine/>
    <w:rsid w:val="009C013C"/>
    <w:pPr>
      <w:spacing w:after="200" w:line="360" w:lineRule="auto"/>
      <w:ind w:firstLine="720"/>
    </w:pPr>
    <w:rPr>
      <w:rFonts w:asciiTheme="majorBidi" w:eastAsia="AdvOT678fd422" w:hAnsiTheme="majorBidi" w:cstheme="majorBidi"/>
      <w:color w:val="000000" w:themeColor="text1"/>
      <w:sz w:val="28"/>
      <w:lang w:val="en-GB" w:eastAsia="en-GB" w:bidi="ar-EG"/>
    </w:rPr>
  </w:style>
  <w:style w:type="character" w:customStyle="1" w:styleId="PPChar">
    <w:name w:val="P   P Char"/>
    <w:basedOn w:val="DefaultParagraphFont"/>
    <w:link w:val="PP"/>
    <w:rsid w:val="009C013C"/>
    <w:rPr>
      <w:rFonts w:asciiTheme="majorBidi" w:eastAsia="AdvOT678fd422" w:hAnsiTheme="majorBidi" w:cstheme="majorBidi"/>
      <w:color w:val="000000" w:themeColor="text1"/>
      <w:sz w:val="28"/>
      <w:lang w:val="en-GB" w:eastAsia="en-GB" w:bidi="ar-EG"/>
    </w:rPr>
  </w:style>
  <w:style w:type="table" w:customStyle="1" w:styleId="GridTable6Colorful1">
    <w:name w:val="Grid Table 6 Colorful1"/>
    <w:basedOn w:val="TableNormal"/>
    <w:next w:val="GridTable6Colorful"/>
    <w:uiPriority w:val="51"/>
    <w:rsid w:val="00156F36"/>
    <w:pPr>
      <w:spacing w:after="0" w:line="240" w:lineRule="auto"/>
    </w:pPr>
    <w:rPr>
      <w:rFonts w:eastAsia="Calibri"/>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156F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1">
    <w:name w:val="Grid Table 6 Colorful11"/>
    <w:basedOn w:val="TableNormal"/>
    <w:next w:val="TableNormal"/>
    <w:uiPriority w:val="51"/>
    <w:rsid w:val="00FC039A"/>
    <w:pPr>
      <w:spacing w:after="0" w:line="240" w:lineRule="auto"/>
    </w:pPr>
    <w:rPr>
      <w:rFonts w:ascii="Calibri" w:eastAsia="Calibri" w:hAnsi="Calibri" w:cs="Arial"/>
      <w:color w:val="00000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3-Accent1">
    <w:name w:val="List Table 3 Accent 1"/>
    <w:basedOn w:val="TableNormal"/>
    <w:uiPriority w:val="48"/>
    <w:rsid w:val="00B42544"/>
    <w:pPr>
      <w:spacing w:after="0" w:line="240" w:lineRule="auto"/>
    </w:pPr>
    <w:rPr>
      <w:lang w:val="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FCC9E97-9730-46AE-B998-CBF9B92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15</Pages>
  <Words>8785</Words>
  <Characters>50077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MG Magic</cp:lastModifiedBy>
  <cp:revision>301</cp:revision>
  <cp:lastPrinted>2025-06-02T09:50:00Z</cp:lastPrinted>
  <dcterms:created xsi:type="dcterms:W3CDTF">2022-12-11T09:17:00Z</dcterms:created>
  <dcterms:modified xsi:type="dcterms:W3CDTF">2025-06-02T09:50:00Z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http://www.zotero.org/styles/emerald-harvard</vt:lpwstr>
  </property>
  <property fmtid="{D5CDD505-2E9C-101B-9397-08002B2CF9AE}" pid="9" name="Mendeley Recent Style Name 3_1">
    <vt:lpwstr>Emerald - Harvard</vt:lpwstr>
  </property>
  <property fmtid="{D5CDD505-2E9C-101B-9397-08002B2CF9AE}" pid="10" name="Mendeley Recent Style Id 4_1">
    <vt:lpwstr>http://www.zotero.org/styles/frontiers-in-cardiovascular-medicine</vt:lpwstr>
  </property>
  <property fmtid="{D5CDD505-2E9C-101B-9397-08002B2CF9AE}" pid="11" name="Mendeley Recent Style Name 4_1">
    <vt:lpwstr>Frontiers in Cardiovascular Medicine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http://www.zotero.org/styles/springer-vancouver-author-date</vt:lpwstr>
  </property>
  <property fmtid="{D5CDD505-2E9C-101B-9397-08002B2CF9AE}" pid="15" name="Mendeley Recent Style Name 6_1">
    <vt:lpwstr>Springer - Vancouver (author-date)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http://www.zotero.org/styles/vancouver-author-date</vt:lpwstr>
  </property>
  <property fmtid="{D5CDD505-2E9C-101B-9397-08002B2CF9AE}" pid="21" name="Mendeley Recent Style Name 9_1">
    <vt:lpwstr>Vancouver (author-date)</vt:lpwstr>
  </property>
  <property fmtid="{D5CDD505-2E9C-101B-9397-08002B2CF9AE}" pid="22" name="Mendeley Document_1">
    <vt:lpwstr>True</vt:lpwstr>
  </property>
  <property fmtid="{D5CDD505-2E9C-101B-9397-08002B2CF9AE}" pid="23" name="Mendeley Unique User Id_1">
    <vt:lpwstr>0def908b-8660-3ba0-9f64-480867e8d0f9</vt:lpwstr>
  </property>
  <property fmtid="{D5CDD505-2E9C-101B-9397-08002B2CF9AE}" pid="24" name="Mendeley Citation Style_1">
    <vt:lpwstr>http://www.zotero.org/styles/vancouver</vt:lpwstr>
  </property>
</Properties>
</file>